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F964" w14:textId="7702A1AA" w:rsidR="00A00527" w:rsidRPr="00A00527" w:rsidRDefault="00A00527" w:rsidP="00A00527">
      <w:pPr>
        <w:jc w:val="center"/>
        <w:rPr>
          <w:b/>
          <w:bCs/>
          <w:sz w:val="32"/>
          <w:szCs w:val="32"/>
        </w:rPr>
      </w:pPr>
      <w:r w:rsidRPr="00A00527">
        <w:rPr>
          <w:b/>
          <w:bCs/>
          <w:sz w:val="32"/>
          <w:szCs w:val="32"/>
        </w:rPr>
        <w:t>Lobbying vs. Educating/Advocating</w:t>
      </w:r>
    </w:p>
    <w:p w14:paraId="36176E2D" w14:textId="77777777" w:rsidR="00A00527" w:rsidRPr="00A00527" w:rsidRDefault="00A00527" w:rsidP="00A00527">
      <w:pPr>
        <w:spacing w:line="240" w:lineRule="auto"/>
        <w:contextualSpacing/>
      </w:pPr>
      <w:r w:rsidRPr="00A00527">
        <w:t>Information comes from:</w:t>
      </w:r>
      <w:r w:rsidRPr="00A00527">
        <w:br/>
        <w:t>DD Act Final Rule (2015) (DD Act Sec. 125 (c)(5)(L))</w:t>
      </w:r>
    </w:p>
    <w:p w14:paraId="3BEA8EA3" w14:textId="77777777" w:rsidR="00A00527" w:rsidRPr="00A00527" w:rsidRDefault="00A00527" w:rsidP="00A00527">
      <w:pPr>
        <w:spacing w:line="240" w:lineRule="auto"/>
        <w:contextualSpacing/>
      </w:pPr>
      <w:r w:rsidRPr="00A00527">
        <w:t>Public Law 106-402, Developmental Disabilities Assistance and Bill of Rights Act of 2000 (42 U.S.C. 15001 et seq).</w:t>
      </w:r>
    </w:p>
    <w:p w14:paraId="306ED856" w14:textId="77777777" w:rsidR="00A00527" w:rsidRPr="00A00527" w:rsidRDefault="00A00527" w:rsidP="00A00527">
      <w:pPr>
        <w:spacing w:line="240" w:lineRule="auto"/>
        <w:contextualSpacing/>
      </w:pPr>
      <w:r w:rsidRPr="00A00527">
        <w:t>Information and Technical Assistance Center (ITACC) for DD Councils</w:t>
      </w:r>
    </w:p>
    <w:p w14:paraId="3C8D6148" w14:textId="77777777" w:rsidR="00A00527" w:rsidRDefault="00A00527" w:rsidP="00A00527">
      <w:pPr>
        <w:rPr>
          <w:b/>
          <w:bCs/>
        </w:rPr>
      </w:pPr>
    </w:p>
    <w:p w14:paraId="3C834290" w14:textId="119C8455" w:rsidR="00A00527" w:rsidRPr="00A00527" w:rsidRDefault="00A00527" w:rsidP="00A00527">
      <w:pPr>
        <w:jc w:val="center"/>
        <w:rPr>
          <w:sz w:val="28"/>
          <w:szCs w:val="28"/>
        </w:rPr>
      </w:pPr>
      <w:r w:rsidRPr="00A00527">
        <w:rPr>
          <w:b/>
          <w:bCs/>
          <w:sz w:val="28"/>
          <w:szCs w:val="28"/>
        </w:rPr>
        <w:t xml:space="preserve">DD Councils </w:t>
      </w:r>
      <w:r w:rsidRPr="00A00527">
        <w:rPr>
          <w:b/>
          <w:bCs/>
          <w:sz w:val="28"/>
          <w:szCs w:val="28"/>
          <w:u w:val="single"/>
        </w:rPr>
        <w:t>Must</w:t>
      </w:r>
      <w:r w:rsidRPr="00A00527">
        <w:rPr>
          <w:b/>
          <w:bCs/>
          <w:sz w:val="28"/>
          <w:szCs w:val="28"/>
        </w:rPr>
        <w:t xml:space="preserve"> Advocate</w:t>
      </w:r>
    </w:p>
    <w:p w14:paraId="3B00FE27" w14:textId="16D9EE09" w:rsidR="00A00527" w:rsidRDefault="00A00527" w:rsidP="00A00527">
      <w:pPr>
        <w:jc w:val="center"/>
        <w:rPr>
          <w:b/>
          <w:bCs/>
        </w:rPr>
      </w:pPr>
      <w:r w:rsidRPr="00A00527">
        <w:rPr>
          <w:b/>
          <w:bCs/>
        </w:rPr>
        <w:t>The Developmental Disabilities Assistance and Bill of Rights Act of 2000</w:t>
      </w:r>
      <w:r w:rsidRPr="00A00527">
        <w:rPr>
          <w:b/>
          <w:bCs/>
        </w:rPr>
        <w:br/>
      </w:r>
      <w:hyperlink r:id="rId5" w:history="1">
        <w:r w:rsidRPr="00551F32">
          <w:rPr>
            <w:rStyle w:val="Hyperlink"/>
            <w:b/>
            <w:bCs/>
          </w:rPr>
          <w:t>https://www.acl.gov/sites/default/files/about-acl/2016-12/dd_act_2000.pdf</w:t>
        </w:r>
      </w:hyperlink>
    </w:p>
    <w:p w14:paraId="7F765BC6" w14:textId="77777777" w:rsidR="00A00527" w:rsidRPr="00A00527" w:rsidRDefault="00A00527" w:rsidP="00A00527">
      <w:pPr>
        <w:rPr>
          <w:b/>
          <w:bCs/>
        </w:rPr>
      </w:pPr>
      <w:r w:rsidRPr="00A00527">
        <w:rPr>
          <w:b/>
          <w:bCs/>
        </w:rPr>
        <w:t>From the DD Act:</w:t>
      </w:r>
    </w:p>
    <w:p w14:paraId="6F1D2F7C" w14:textId="37B03F3A" w:rsidR="00A00527" w:rsidRPr="00A00527" w:rsidRDefault="00A00527" w:rsidP="00A00527">
      <w:r w:rsidRPr="00A00527">
        <w:t>SEC. 125. STATE COUNCILS ON DEVELOPMENTAL DISABILITIES AND DESIGNATED STATE AGENCIES.</w:t>
      </w:r>
    </w:p>
    <w:p w14:paraId="4DB3A062" w14:textId="77777777" w:rsidR="00A00527" w:rsidRPr="00A00527" w:rsidRDefault="00A00527" w:rsidP="00A00527">
      <w:r w:rsidRPr="00A00527">
        <w:t xml:space="preserve">(c) COUNCIL </w:t>
      </w:r>
      <w:proofErr w:type="gramStart"/>
      <w:r w:rsidRPr="00A00527">
        <w:t>RESPONSIBILITIES.—</w:t>
      </w:r>
      <w:proofErr w:type="gramEnd"/>
    </w:p>
    <w:p w14:paraId="7F1C9EA6" w14:textId="77777777" w:rsidR="00A00527" w:rsidRPr="00A00527" w:rsidRDefault="00A00527" w:rsidP="00A00527">
      <w:r w:rsidRPr="00A00527">
        <w:tab/>
        <w:t xml:space="preserve">(2) </w:t>
      </w:r>
      <w:r w:rsidRPr="00A00527">
        <w:rPr>
          <w:b/>
          <w:bCs/>
        </w:rPr>
        <w:t xml:space="preserve">ADVOCACY, CAPACITY BUILDING, AND SYSTEMIC CHANGE </w:t>
      </w:r>
      <w:proofErr w:type="gramStart"/>
      <w:r w:rsidRPr="00A00527">
        <w:rPr>
          <w:b/>
          <w:bCs/>
        </w:rPr>
        <w:t>ACTIVITIES</w:t>
      </w:r>
      <w:r w:rsidRPr="00A00527">
        <w:t>.—</w:t>
      </w:r>
      <w:proofErr w:type="gramEnd"/>
      <w:r w:rsidRPr="00A00527">
        <w:t>The Council shall serve as an advocate for individuals with developmental disabilities and conduct or support programs, projects, and activities that carry out the purpose of this subtitle.</w:t>
      </w:r>
    </w:p>
    <w:p w14:paraId="07FF3859" w14:textId="77777777" w:rsidR="00A00527" w:rsidRPr="00A00527" w:rsidRDefault="00A00527" w:rsidP="00A00527">
      <w:r w:rsidRPr="00A00527">
        <w:t xml:space="preserve">Our MOU mimics the DD Act and DHHS has committed to ensuring our independence is protected. </w:t>
      </w:r>
    </w:p>
    <w:p w14:paraId="56E3CF9C" w14:textId="19A35A26" w:rsidR="00A00527" w:rsidRDefault="00A00527">
      <w:pPr>
        <w:rPr>
          <w:b/>
          <w:bCs/>
        </w:rPr>
      </w:pPr>
      <w:r w:rsidRPr="00A00527">
        <w:rPr>
          <w:b/>
          <w:bCs/>
        </w:rPr>
        <w:t>Permissible Advocacy/Education Activities in DD Act</w:t>
      </w:r>
    </w:p>
    <w:p w14:paraId="39584643" w14:textId="77777777" w:rsidR="00A00527" w:rsidRPr="00A00527" w:rsidRDefault="00A00527" w:rsidP="00A00527">
      <w:pPr>
        <w:numPr>
          <w:ilvl w:val="0"/>
          <w:numId w:val="1"/>
        </w:numPr>
      </w:pPr>
      <w:r w:rsidRPr="00A00527">
        <w:t>Educate the public about the capabilities, preferences, and needs of individuals with developmental disabilities and their families, including training in self-advocacy, education of policymakers, and citizen leadership skills.</w:t>
      </w:r>
    </w:p>
    <w:p w14:paraId="0A8C424C" w14:textId="77777777" w:rsidR="00A00527" w:rsidRPr="00A00527" w:rsidRDefault="00A00527" w:rsidP="00A00527">
      <w:pPr>
        <w:numPr>
          <w:ilvl w:val="0"/>
          <w:numId w:val="1"/>
        </w:numPr>
      </w:pPr>
      <w:r w:rsidRPr="00A00527">
        <w:t xml:space="preserve">Support coalitions that support the policy agenda of the Council, including training in self-advocacy, education of policymakers, and citizen leadership skills. </w:t>
      </w:r>
    </w:p>
    <w:p w14:paraId="41D81BCD" w14:textId="77777777" w:rsidR="00A00527" w:rsidRPr="00A00527" w:rsidRDefault="00A00527" w:rsidP="00A00527">
      <w:pPr>
        <w:numPr>
          <w:ilvl w:val="0"/>
          <w:numId w:val="1"/>
        </w:numPr>
      </w:pPr>
      <w:r w:rsidRPr="00A00527">
        <w:t xml:space="preserve">Provide information to policymakers by supporting and conducting studies and analyses, gathering information, and developing and disseminating model policies and procedures, information, approaches, strategies, findings, conclusions, and recommendations. </w:t>
      </w:r>
    </w:p>
    <w:p w14:paraId="1AAF582C" w14:textId="77777777" w:rsidR="00A00527" w:rsidRPr="00A00527" w:rsidRDefault="00A00527" w:rsidP="00A00527">
      <w:pPr>
        <w:numPr>
          <w:ilvl w:val="0"/>
          <w:numId w:val="1"/>
        </w:numPr>
      </w:pPr>
      <w:r w:rsidRPr="00A00527">
        <w:t xml:space="preserve">Provide the information </w:t>
      </w:r>
      <w:r w:rsidRPr="00A00527">
        <w:rPr>
          <w:u w:val="single"/>
        </w:rPr>
        <w:t>directly</w:t>
      </w:r>
      <w:r w:rsidRPr="00A00527">
        <w:t xml:space="preserve"> to Federal, State, and local policymakers, including Congress, the Federal executive branch, the Governors, State legislatures, and State agencies, </w:t>
      </w:r>
      <w:proofErr w:type="gramStart"/>
      <w:r w:rsidRPr="00A00527">
        <w:t>in order to</w:t>
      </w:r>
      <w:proofErr w:type="gramEnd"/>
      <w:r w:rsidRPr="00A00527">
        <w:t xml:space="preserve"> increase the ability of such policymakers to offer opportunities and to enhance or adapt generic services to meet the needs of, or provide specialized services to, individuals with developmental disabilities and their families.</w:t>
      </w:r>
    </w:p>
    <w:p w14:paraId="53D65B83" w14:textId="77777777" w:rsidR="00A00527" w:rsidRPr="00A00527" w:rsidRDefault="00A00527" w:rsidP="00A00527">
      <w:pPr>
        <w:numPr>
          <w:ilvl w:val="0"/>
          <w:numId w:val="1"/>
        </w:numPr>
      </w:pPr>
      <w:r w:rsidRPr="00A00527">
        <w:t>“Other Activities.” (DD Act Sec. 125 (c)(5)(L))</w:t>
      </w:r>
    </w:p>
    <w:p w14:paraId="2AC611E3" w14:textId="56762C20" w:rsidR="00A00527" w:rsidRDefault="00A00527">
      <w:pPr>
        <w:rPr>
          <w:b/>
          <w:bCs/>
        </w:rPr>
      </w:pPr>
      <w:r w:rsidRPr="00A00527">
        <w:rPr>
          <w:b/>
          <w:bCs/>
        </w:rPr>
        <w:t>“Advocate/Education” v. Lobbying Regulation</w:t>
      </w:r>
    </w:p>
    <w:p w14:paraId="0329A221" w14:textId="77777777" w:rsidR="00A00527" w:rsidRPr="00A00527" w:rsidRDefault="00A00527" w:rsidP="00A00527">
      <w:r w:rsidRPr="00A00527">
        <w:t xml:space="preserve">DD Act Final Rule (2015) – </w:t>
      </w:r>
    </w:p>
    <w:p w14:paraId="6F3D8169" w14:textId="77777777" w:rsidR="00A00527" w:rsidRPr="00A00527" w:rsidRDefault="00A00527" w:rsidP="00A00527">
      <w:r w:rsidRPr="00A00527">
        <w:t xml:space="preserve">Broadened “Advocacy activities” definition: </w:t>
      </w:r>
    </w:p>
    <w:p w14:paraId="259A868B" w14:textId="77777777" w:rsidR="00A00527" w:rsidRPr="00A00527" w:rsidRDefault="00A00527" w:rsidP="00A00527">
      <w:pPr>
        <w:numPr>
          <w:ilvl w:val="0"/>
          <w:numId w:val="2"/>
        </w:numPr>
      </w:pPr>
      <w:r w:rsidRPr="00A00527">
        <w:t>“[A]</w:t>
      </w:r>
      <w:proofErr w:type="spellStart"/>
      <w:r w:rsidRPr="00A00527">
        <w:t>ctive</w:t>
      </w:r>
      <w:proofErr w:type="spellEnd"/>
      <w:r w:rsidRPr="00A00527">
        <w:t xml:space="preserve"> support of policies and practices that promote systems change efforts and other activities that further advance self- determination and inclusion in </w:t>
      </w:r>
      <w:r w:rsidRPr="00A00527">
        <w:rPr>
          <w:b/>
          <w:bCs/>
          <w:i/>
          <w:iCs/>
        </w:rPr>
        <w:t>all aspects of community living</w:t>
      </w:r>
      <w:r w:rsidRPr="00A00527">
        <w:t xml:space="preserve"> (including housing, education, employment, and other aspects) for individuals with developmental disabilities, and their families.” </w:t>
      </w:r>
    </w:p>
    <w:p w14:paraId="3428548B" w14:textId="77777777" w:rsidR="00A00527" w:rsidRPr="00A00527" w:rsidRDefault="00A00527" w:rsidP="00A00527">
      <w:r w:rsidRPr="00A00527">
        <w:t>Provided additional guidance on activities:</w:t>
      </w:r>
    </w:p>
    <w:p w14:paraId="0A402E5E" w14:textId="77777777" w:rsidR="00A00527" w:rsidRPr="00A00527" w:rsidRDefault="00A00527" w:rsidP="00A00527">
      <w:pPr>
        <w:numPr>
          <w:ilvl w:val="0"/>
          <w:numId w:val="3"/>
        </w:numPr>
      </w:pPr>
      <w:r w:rsidRPr="00A00527">
        <w:t>Maintained that advocacy should be balanced and non-partisan.</w:t>
      </w:r>
    </w:p>
    <w:p w14:paraId="5B3F85C4" w14:textId="77777777" w:rsidR="00A00527" w:rsidRPr="00A00527" w:rsidRDefault="00A00527" w:rsidP="00A00527">
      <w:pPr>
        <w:numPr>
          <w:ilvl w:val="0"/>
          <w:numId w:val="3"/>
        </w:numPr>
      </w:pPr>
      <w:r w:rsidRPr="00A00527">
        <w:lastRenderedPageBreak/>
        <w:t>Clarified that “grantees may use non-federal funds for other policy related activities in accordance with relevant federal and state laws.”</w:t>
      </w:r>
    </w:p>
    <w:p w14:paraId="2EFBA432" w14:textId="77777777" w:rsidR="00A00527" w:rsidRPr="00A00527" w:rsidRDefault="00A00527" w:rsidP="00A00527">
      <w:pPr>
        <w:numPr>
          <w:ilvl w:val="0"/>
          <w:numId w:val="3"/>
        </w:numPr>
      </w:pPr>
      <w:r w:rsidRPr="00A00527">
        <w:t xml:space="preserve">Required Designated State Agency to determine all activities in plan are “consistent with applicable State </w:t>
      </w:r>
      <w:proofErr w:type="gramStart"/>
      <w:r w:rsidRPr="00A00527">
        <w:t>laws, and</w:t>
      </w:r>
      <w:proofErr w:type="gramEnd"/>
      <w:r w:rsidRPr="00A00527">
        <w:t xml:space="preserve"> obtain appropriate State plan assurances.” </w:t>
      </w:r>
    </w:p>
    <w:p w14:paraId="0E87ABBC" w14:textId="2C2E8433" w:rsidR="00A00527" w:rsidRDefault="00A00527">
      <w:r w:rsidRPr="00A00527">
        <w:rPr>
          <w:u w:val="single"/>
        </w:rPr>
        <w:t>HHS Grant Recipients CANNOT Lobby.</w:t>
      </w:r>
      <w:r w:rsidRPr="00A00527">
        <w:rPr>
          <w:u w:val="single"/>
        </w:rPr>
        <w:br/>
      </w:r>
      <w:hyperlink r:id="rId6" w:history="1">
        <w:r w:rsidRPr="00551F32">
          <w:rPr>
            <w:rStyle w:val="Hyperlink"/>
          </w:rPr>
          <w:t>https://www.hhs.gov/grants/grants/grants-policies-regulations/lobbying-restrictions.html#ftn5</w:t>
        </w:r>
      </w:hyperlink>
      <w:r>
        <w:t xml:space="preserve"> </w:t>
      </w:r>
    </w:p>
    <w:p w14:paraId="3C2C4F67" w14:textId="77777777" w:rsidR="00A00527" w:rsidRPr="00A00527" w:rsidRDefault="00A00527" w:rsidP="00A00527">
      <w:r w:rsidRPr="00A00527">
        <w:t xml:space="preserve">In general, recipients of federal funds </w:t>
      </w:r>
      <w:r w:rsidRPr="00A00527">
        <w:rPr>
          <w:i/>
          <w:iCs/>
        </w:rPr>
        <w:t xml:space="preserve">are not allowed </w:t>
      </w:r>
      <w:r w:rsidRPr="00A00527">
        <w:t>to use said federal funding to lobby federal, state, or local officials or their staff to receive additional funding or influence legislation such as:</w:t>
      </w:r>
    </w:p>
    <w:p w14:paraId="0AEEFEF5" w14:textId="77777777" w:rsidR="00A00527" w:rsidRPr="00A00527" w:rsidRDefault="00A00527" w:rsidP="00A00527">
      <w:pPr>
        <w:numPr>
          <w:ilvl w:val="0"/>
          <w:numId w:val="4"/>
        </w:numPr>
      </w:pPr>
      <w:r w:rsidRPr="00A00527">
        <w:t xml:space="preserve">Spending federal funds to influence an officer or employee of any agency or Congressional member/staff regarding federal </w:t>
      </w:r>
      <w:proofErr w:type="gramStart"/>
      <w:r w:rsidRPr="00A00527">
        <w:t>awards;</w:t>
      </w:r>
      <w:proofErr w:type="gramEnd"/>
    </w:p>
    <w:p w14:paraId="0DB7BCFF" w14:textId="77777777" w:rsidR="00A00527" w:rsidRPr="00A00527" w:rsidRDefault="00A00527" w:rsidP="00A00527">
      <w:pPr>
        <w:numPr>
          <w:ilvl w:val="0"/>
          <w:numId w:val="4"/>
        </w:numPr>
      </w:pPr>
      <w:r w:rsidRPr="00A00527">
        <w:t>Using grants funds provided to influence an election, contribute to a partisan organization, or influence enactment or modification of any pending federal or state legislation; or</w:t>
      </w:r>
    </w:p>
    <w:p w14:paraId="5CDA3AC2" w14:textId="77777777" w:rsidR="00A00527" w:rsidRPr="00A00527" w:rsidRDefault="00A00527" w:rsidP="00A00527">
      <w:pPr>
        <w:numPr>
          <w:ilvl w:val="0"/>
          <w:numId w:val="4"/>
        </w:numPr>
      </w:pPr>
      <w:r w:rsidRPr="00A00527">
        <w:t>Expending federal funds to influence federal, state, or local officials or legislation.</w:t>
      </w:r>
    </w:p>
    <w:p w14:paraId="3064BAC2" w14:textId="77777777" w:rsidR="00A00527" w:rsidRPr="00A00527" w:rsidRDefault="00A00527" w:rsidP="00A00527">
      <w:r w:rsidRPr="00A00527">
        <w:rPr>
          <w:u w:val="single"/>
        </w:rPr>
        <w:t xml:space="preserve">EXCEPT they </w:t>
      </w:r>
      <w:r w:rsidRPr="00A00527">
        <w:rPr>
          <w:i/>
          <w:iCs/>
          <w:u w:val="single"/>
        </w:rPr>
        <w:t>may</w:t>
      </w:r>
      <w:r w:rsidRPr="00A00527">
        <w:rPr>
          <w:u w:val="single"/>
        </w:rPr>
        <w:t xml:space="preserve"> engage in:</w:t>
      </w:r>
    </w:p>
    <w:p w14:paraId="235D7E8B" w14:textId="77777777" w:rsidR="00A00527" w:rsidRPr="00A00527" w:rsidRDefault="00A00527" w:rsidP="00A00527">
      <w:pPr>
        <w:numPr>
          <w:ilvl w:val="0"/>
          <w:numId w:val="5"/>
        </w:numPr>
      </w:pPr>
      <w:r w:rsidRPr="00A00527">
        <w:t>Technical or factual presentations on topics related to the performance of a grant in response to a documented request made by the member of congress or legislative body.</w:t>
      </w:r>
    </w:p>
    <w:p w14:paraId="54CC5AB5" w14:textId="77777777" w:rsidR="00A00527" w:rsidRPr="00A00527" w:rsidRDefault="00A00527" w:rsidP="00A00527">
      <w:pPr>
        <w:numPr>
          <w:ilvl w:val="0"/>
          <w:numId w:val="5"/>
        </w:numPr>
      </w:pPr>
      <w:r w:rsidRPr="00A00527">
        <w:t xml:space="preserve">Any lobbying </w:t>
      </w:r>
      <w:proofErr w:type="gramStart"/>
      <w:r w:rsidRPr="00A00527">
        <w:t>in order to</w:t>
      </w:r>
      <w:proofErr w:type="gramEnd"/>
      <w:r w:rsidRPr="00A00527">
        <w:t xml:space="preserve"> influence state legislation in order to directly reduce the cost, or to avoid material impairment of the non-federal entity’s authority to perform the grant.</w:t>
      </w:r>
    </w:p>
    <w:p w14:paraId="3EC0C525" w14:textId="77777777" w:rsidR="00A00527" w:rsidRPr="00A00527" w:rsidRDefault="00A00527" w:rsidP="00A00527">
      <w:pPr>
        <w:numPr>
          <w:ilvl w:val="0"/>
          <w:numId w:val="5"/>
        </w:numPr>
      </w:pPr>
      <w:r w:rsidRPr="00A00527">
        <w:t>Nonpartisan analysis, study, or research reports and examinations and discussions of broad social, economic, and information provided upon request by a legislator for technical advice and assistance, as defined by the Internal Revenue Code.</w:t>
      </w:r>
    </w:p>
    <w:p w14:paraId="0457EBCB" w14:textId="77777777" w:rsidR="00A00527" w:rsidRPr="00A00527" w:rsidRDefault="00A00527" w:rsidP="00A00527">
      <w:pPr>
        <w:numPr>
          <w:ilvl w:val="0"/>
          <w:numId w:val="5"/>
        </w:numPr>
        <w:rPr>
          <w:highlight w:val="yellow"/>
        </w:rPr>
      </w:pPr>
      <w:r w:rsidRPr="00A00527">
        <w:rPr>
          <w:b/>
          <w:bCs/>
          <w:i/>
          <w:iCs/>
          <w:highlight w:val="yellow"/>
        </w:rPr>
        <w:t>Any activity specifically authorized by statute to be undertaken with funds from the federal award</w:t>
      </w:r>
      <w:r w:rsidRPr="00A00527">
        <w:rPr>
          <w:b/>
          <w:bCs/>
          <w:highlight w:val="yellow"/>
        </w:rPr>
        <w:t>.</w:t>
      </w:r>
    </w:p>
    <w:p w14:paraId="139FEE02" w14:textId="77777777" w:rsidR="00A00527" w:rsidRPr="00A00527" w:rsidRDefault="00A00527" w:rsidP="00A00527">
      <w:pPr>
        <w:jc w:val="center"/>
        <w:rPr>
          <w:rStyle w:val="Strong"/>
          <w:rFonts w:ascii="Helvetica" w:eastAsia="Times New Roman" w:hAnsi="Helvetica" w:cs="Helvetica"/>
          <w:color w:val="202020"/>
          <w:sz w:val="24"/>
          <w:szCs w:val="24"/>
        </w:rPr>
      </w:pPr>
      <w:r w:rsidRPr="00A00527">
        <w:rPr>
          <w:rStyle w:val="Strong"/>
          <w:rFonts w:ascii="Helvetica" w:eastAsia="Times New Roman" w:hAnsi="Helvetica" w:cs="Helvetica"/>
          <w:color w:val="202020"/>
          <w:sz w:val="24"/>
          <w:szCs w:val="24"/>
        </w:rPr>
        <w:t>Educating Policymakers</w:t>
      </w:r>
    </w:p>
    <w:p w14:paraId="0F92603D" w14:textId="64FE10FF" w:rsidR="00A00527" w:rsidRDefault="00A00527" w:rsidP="00A00527">
      <w:pPr>
        <w:rPr>
          <w:rFonts w:ascii="Helvetica" w:eastAsia="Times New Roman" w:hAnsi="Helvetica" w:cs="Helvetica"/>
          <w:color w:val="202020"/>
          <w:sz w:val="24"/>
          <w:szCs w:val="24"/>
        </w:rPr>
      </w:pPr>
      <w:r w:rsidRPr="00A00527">
        <w:rPr>
          <w:rStyle w:val="Strong"/>
          <w:rFonts w:ascii="Helvetica" w:eastAsia="Times New Roman" w:hAnsi="Helvetica" w:cs="Helvetica"/>
          <w:color w:val="202020"/>
          <w:sz w:val="24"/>
          <w:szCs w:val="24"/>
        </w:rPr>
        <w:t>Question: Our state plan includes public policy and educating policymaker activities. Are we allowed to say we support a specific piece of legislation being considered?</w:t>
      </w:r>
      <w:r w:rsidRPr="00A00527">
        <w:rPr>
          <w:rFonts w:ascii="Helvetica" w:eastAsia="Times New Roman" w:hAnsi="Helvetica" w:cs="Helvetica"/>
          <w:color w:val="202020"/>
          <w:sz w:val="24"/>
          <w:szCs w:val="24"/>
        </w:rPr>
        <w:br/>
      </w:r>
      <w:r w:rsidRPr="00A00527">
        <w:rPr>
          <w:rFonts w:ascii="Helvetica" w:eastAsia="Times New Roman" w:hAnsi="Helvetica" w:cs="Helvetica"/>
          <w:color w:val="202020"/>
          <w:sz w:val="24"/>
          <w:szCs w:val="24"/>
        </w:rPr>
        <w:br/>
        <w:t>Answer: Yes, the Council can educate a policymaker on the positive and negative aspects of a public policy issue and present full and fair information that is not biased or inflammatory. However, the Council cannot tell a policymaker how to vote on an item or make an “ask” of the policymaker.</w:t>
      </w:r>
    </w:p>
    <w:p w14:paraId="01DEEF77" w14:textId="60956020" w:rsidR="00A00527" w:rsidRDefault="00A00527" w:rsidP="00A00527">
      <w:pPr>
        <w:rPr>
          <w:rFonts w:ascii="Helvetica" w:eastAsia="Times New Roman" w:hAnsi="Helvetica" w:cs="Helvetica"/>
          <w:color w:val="202020"/>
          <w:sz w:val="24"/>
          <w:szCs w:val="24"/>
        </w:rPr>
      </w:pPr>
    </w:p>
    <w:p w14:paraId="29B9BB73" w14:textId="76C2EC5F" w:rsidR="00A00527" w:rsidRPr="00A00527" w:rsidRDefault="00A00527" w:rsidP="00A00527">
      <w:pPr>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In short, </w:t>
      </w:r>
      <w:r w:rsidRPr="00A00527">
        <w:rPr>
          <w:rFonts w:ascii="Helvetica" w:eastAsia="Times New Roman" w:hAnsi="Helvetica" w:cs="Helvetica"/>
          <w:color w:val="202020"/>
          <w:sz w:val="24"/>
          <w:szCs w:val="24"/>
        </w:rPr>
        <w:t>we</w:t>
      </w:r>
      <w:r w:rsidRPr="00A00527">
        <w:rPr>
          <w:rFonts w:ascii="Helvetica" w:eastAsia="Times New Roman" w:hAnsi="Helvetica" w:cs="Helvetica"/>
          <w:color w:val="202020"/>
          <w:sz w:val="24"/>
          <w:szCs w:val="24"/>
        </w:rPr>
        <w:t xml:space="preserve"> </w:t>
      </w:r>
      <w:r w:rsidRPr="00A00527">
        <w:rPr>
          <w:rFonts w:ascii="Helvetica" w:eastAsia="Times New Roman" w:hAnsi="Helvetica" w:cs="Helvetica"/>
          <w:b/>
          <w:bCs/>
          <w:i/>
          <w:iCs/>
          <w:color w:val="202020"/>
          <w:sz w:val="24"/>
          <w:szCs w:val="24"/>
          <w:u w:val="single"/>
        </w:rPr>
        <w:t>CAN</w:t>
      </w:r>
      <w:r w:rsidRPr="00A00527">
        <w:rPr>
          <w:rFonts w:ascii="Helvetica" w:eastAsia="Times New Roman" w:hAnsi="Helvetica" w:cs="Helvetica"/>
          <w:color w:val="202020"/>
          <w:sz w:val="24"/>
          <w:szCs w:val="24"/>
        </w:rPr>
        <w:t xml:space="preserve"> sign up to testify in support or opposition</w:t>
      </w:r>
      <w:r w:rsidRPr="00A00527">
        <w:rPr>
          <w:rFonts w:ascii="Helvetica" w:eastAsia="Times New Roman" w:hAnsi="Helvetica" w:cs="Helvetica"/>
          <w:color w:val="202020"/>
          <w:sz w:val="24"/>
          <w:szCs w:val="24"/>
        </w:rPr>
        <w:t xml:space="preserve"> of a bill</w:t>
      </w:r>
      <w:r w:rsidRPr="00A00527">
        <w:rPr>
          <w:rFonts w:ascii="Helvetica" w:eastAsia="Times New Roman" w:hAnsi="Helvetica" w:cs="Helvetica"/>
          <w:color w:val="202020"/>
          <w:sz w:val="24"/>
          <w:szCs w:val="24"/>
        </w:rPr>
        <w:t xml:space="preserve">.  </w:t>
      </w:r>
      <w:r w:rsidRPr="00A00527">
        <w:rPr>
          <w:rFonts w:ascii="Helvetica" w:eastAsia="Times New Roman" w:hAnsi="Helvetica" w:cs="Helvetica"/>
          <w:color w:val="202020"/>
          <w:sz w:val="24"/>
          <w:szCs w:val="24"/>
        </w:rPr>
        <w:t>We</w:t>
      </w:r>
      <w:r w:rsidRPr="00A00527">
        <w:rPr>
          <w:rFonts w:ascii="Helvetica" w:eastAsia="Times New Roman" w:hAnsi="Helvetica" w:cs="Helvetica"/>
          <w:color w:val="202020"/>
          <w:sz w:val="24"/>
          <w:szCs w:val="24"/>
        </w:rPr>
        <w:t xml:space="preserve"> can say the Council supports a bill because of "x" by explaining how the bill will positively or negatively impact people with I/DD.</w:t>
      </w:r>
    </w:p>
    <w:p w14:paraId="5558E765" w14:textId="19AA3EF0" w:rsidR="00A00527" w:rsidRPr="00A00527" w:rsidRDefault="00A00527" w:rsidP="00A00527">
      <w:pPr>
        <w:rPr>
          <w:rFonts w:ascii="Helvetica" w:eastAsia="Times New Roman" w:hAnsi="Helvetica" w:cs="Helvetica"/>
          <w:color w:val="202020"/>
          <w:sz w:val="24"/>
          <w:szCs w:val="24"/>
        </w:rPr>
      </w:pPr>
      <w:r w:rsidRPr="00A00527">
        <w:rPr>
          <w:rFonts w:ascii="Helvetica" w:eastAsia="Times New Roman" w:hAnsi="Helvetica" w:cs="Helvetica"/>
          <w:color w:val="202020"/>
          <w:sz w:val="24"/>
          <w:szCs w:val="24"/>
        </w:rPr>
        <w:t xml:space="preserve">What </w:t>
      </w:r>
      <w:r w:rsidRPr="00A00527">
        <w:rPr>
          <w:rFonts w:ascii="Helvetica" w:eastAsia="Times New Roman" w:hAnsi="Helvetica" w:cs="Helvetica"/>
          <w:color w:val="202020"/>
          <w:sz w:val="24"/>
          <w:szCs w:val="24"/>
        </w:rPr>
        <w:t>we</w:t>
      </w:r>
      <w:r w:rsidRPr="00A00527">
        <w:rPr>
          <w:rFonts w:ascii="Helvetica" w:eastAsia="Times New Roman" w:hAnsi="Helvetica" w:cs="Helvetica"/>
          <w:color w:val="202020"/>
          <w:sz w:val="24"/>
          <w:szCs w:val="24"/>
        </w:rPr>
        <w:t xml:space="preserve"> cannot do is tell a policymaker how to vote </w:t>
      </w:r>
      <w:r w:rsidRPr="00A00527">
        <w:rPr>
          <w:rFonts w:ascii="Helvetica" w:eastAsia="Times New Roman" w:hAnsi="Helvetica" w:cs="Helvetica"/>
          <w:color w:val="202020"/>
          <w:sz w:val="24"/>
          <w:szCs w:val="24"/>
        </w:rPr>
        <w:t>–</w:t>
      </w:r>
      <w:r w:rsidRPr="00A00527">
        <w:rPr>
          <w:rFonts w:ascii="Helvetica" w:eastAsia="Times New Roman" w:hAnsi="Helvetica" w:cs="Helvetica"/>
          <w:color w:val="202020"/>
          <w:sz w:val="24"/>
          <w:szCs w:val="24"/>
        </w:rPr>
        <w:t xml:space="preserve"> so</w:t>
      </w:r>
      <w:r w:rsidRPr="00A00527">
        <w:rPr>
          <w:rFonts w:ascii="Helvetica" w:eastAsia="Times New Roman" w:hAnsi="Helvetica" w:cs="Helvetica"/>
          <w:color w:val="202020"/>
          <w:sz w:val="24"/>
          <w:szCs w:val="24"/>
        </w:rPr>
        <w:t xml:space="preserve"> we</w:t>
      </w:r>
      <w:r w:rsidRPr="00A00527">
        <w:rPr>
          <w:rFonts w:ascii="Helvetica" w:eastAsia="Times New Roman" w:hAnsi="Helvetica" w:cs="Helvetica"/>
          <w:color w:val="202020"/>
          <w:sz w:val="24"/>
          <w:szCs w:val="24"/>
        </w:rPr>
        <w:t xml:space="preserve"> cannot say "...</w:t>
      </w:r>
      <w:proofErr w:type="gramStart"/>
      <w:r w:rsidRPr="00A00527">
        <w:rPr>
          <w:rFonts w:ascii="Helvetica" w:eastAsia="Times New Roman" w:hAnsi="Helvetica" w:cs="Helvetica"/>
          <w:color w:val="202020"/>
          <w:sz w:val="24"/>
          <w:szCs w:val="24"/>
        </w:rPr>
        <w:t>this is why</w:t>
      </w:r>
      <w:proofErr w:type="gramEnd"/>
      <w:r w:rsidRPr="00A00527">
        <w:rPr>
          <w:rFonts w:ascii="Helvetica" w:eastAsia="Times New Roman" w:hAnsi="Helvetica" w:cs="Helvetica"/>
          <w:color w:val="202020"/>
          <w:sz w:val="24"/>
          <w:szCs w:val="24"/>
        </w:rPr>
        <w:t xml:space="preserve"> we urge you to vote yes on Bill 'x" or no on Bill "x". If a policymaker </w:t>
      </w:r>
      <w:r w:rsidRPr="00A00527">
        <w:rPr>
          <w:rFonts w:ascii="Helvetica" w:eastAsia="Times New Roman" w:hAnsi="Helvetica" w:cs="Helvetica"/>
          <w:color w:val="202020"/>
          <w:sz w:val="24"/>
          <w:szCs w:val="24"/>
        </w:rPr>
        <w:t>asks us,</w:t>
      </w:r>
      <w:r w:rsidRPr="00A00527">
        <w:rPr>
          <w:rFonts w:ascii="Helvetica" w:eastAsia="Times New Roman" w:hAnsi="Helvetica" w:cs="Helvetica"/>
          <w:color w:val="202020"/>
          <w:sz w:val="24"/>
          <w:szCs w:val="24"/>
        </w:rPr>
        <w:t xml:space="preserve"> </w:t>
      </w:r>
      <w:r w:rsidRPr="00A00527">
        <w:rPr>
          <w:rFonts w:ascii="Helvetica" w:eastAsia="Times New Roman" w:hAnsi="Helvetica" w:cs="Helvetica"/>
          <w:color w:val="202020"/>
          <w:sz w:val="24"/>
          <w:szCs w:val="24"/>
        </w:rPr>
        <w:t>“</w:t>
      </w:r>
      <w:r w:rsidRPr="00A00527">
        <w:rPr>
          <w:rFonts w:ascii="Helvetica" w:eastAsia="Times New Roman" w:hAnsi="Helvetica" w:cs="Helvetica"/>
          <w:color w:val="202020"/>
          <w:sz w:val="24"/>
          <w:szCs w:val="24"/>
        </w:rPr>
        <w:t>how do you want us to vote</w:t>
      </w:r>
      <w:r w:rsidRPr="00A00527">
        <w:rPr>
          <w:rFonts w:ascii="Helvetica" w:eastAsia="Times New Roman" w:hAnsi="Helvetica" w:cs="Helvetica"/>
          <w:color w:val="202020"/>
          <w:sz w:val="24"/>
          <w:szCs w:val="24"/>
        </w:rPr>
        <w:t>?”</w:t>
      </w:r>
      <w:r w:rsidRPr="00A00527">
        <w:rPr>
          <w:rFonts w:ascii="Helvetica" w:eastAsia="Times New Roman" w:hAnsi="Helvetica" w:cs="Helvetica"/>
          <w:color w:val="202020"/>
          <w:sz w:val="24"/>
          <w:szCs w:val="24"/>
        </w:rPr>
        <w:t xml:space="preserve"> </w:t>
      </w:r>
      <w:r w:rsidRPr="00A00527">
        <w:rPr>
          <w:rFonts w:ascii="Helvetica" w:eastAsia="Times New Roman" w:hAnsi="Helvetica" w:cs="Helvetica"/>
          <w:color w:val="202020"/>
          <w:sz w:val="24"/>
          <w:szCs w:val="24"/>
        </w:rPr>
        <w:t>–</w:t>
      </w:r>
      <w:r w:rsidRPr="00A00527">
        <w:rPr>
          <w:rFonts w:ascii="Helvetica" w:eastAsia="Times New Roman" w:hAnsi="Helvetica" w:cs="Helvetica"/>
          <w:color w:val="202020"/>
          <w:sz w:val="24"/>
          <w:szCs w:val="24"/>
        </w:rPr>
        <w:t xml:space="preserve"> </w:t>
      </w:r>
      <w:r>
        <w:rPr>
          <w:rFonts w:ascii="Helvetica" w:eastAsia="Times New Roman" w:hAnsi="Helvetica" w:cs="Helvetica"/>
          <w:color w:val="202020"/>
          <w:sz w:val="24"/>
          <w:szCs w:val="24"/>
        </w:rPr>
        <w:t>we</w:t>
      </w:r>
      <w:r w:rsidRPr="00A00527">
        <w:rPr>
          <w:rFonts w:ascii="Helvetica" w:eastAsia="Times New Roman" w:hAnsi="Helvetica" w:cs="Helvetica"/>
          <w:color w:val="202020"/>
          <w:sz w:val="24"/>
          <w:szCs w:val="24"/>
        </w:rPr>
        <w:t xml:space="preserve"> </w:t>
      </w:r>
      <w:r w:rsidRPr="00A00527">
        <w:rPr>
          <w:rFonts w:ascii="Helvetica" w:eastAsia="Times New Roman" w:hAnsi="Helvetica" w:cs="Helvetica"/>
          <w:b/>
          <w:bCs/>
          <w:i/>
          <w:iCs/>
          <w:color w:val="202020"/>
          <w:sz w:val="24"/>
          <w:szCs w:val="24"/>
          <w:u w:val="single"/>
        </w:rPr>
        <w:t>CANNOT</w:t>
      </w:r>
      <w:r w:rsidRPr="00A00527">
        <w:rPr>
          <w:rFonts w:ascii="Helvetica" w:eastAsia="Times New Roman" w:hAnsi="Helvetica" w:cs="Helvetica"/>
          <w:color w:val="202020"/>
          <w:sz w:val="24"/>
          <w:szCs w:val="24"/>
        </w:rPr>
        <w:t xml:space="preserve"> answer.</w:t>
      </w:r>
    </w:p>
    <w:p w14:paraId="5D9598CC" w14:textId="4EB1E582" w:rsidR="00A00527" w:rsidRDefault="00A00527" w:rsidP="00A00527"/>
    <w:sectPr w:rsidR="00A00527" w:rsidSect="00A00527">
      <w:pgSz w:w="12240" w:h="15840"/>
      <w:pgMar w:top="630" w:right="81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D78"/>
    <w:multiLevelType w:val="hybridMultilevel"/>
    <w:tmpl w:val="4036BE5E"/>
    <w:lvl w:ilvl="0" w:tplc="BE72AA34">
      <w:start w:val="1"/>
      <w:numFmt w:val="bullet"/>
      <w:lvlText w:val="•"/>
      <w:lvlJc w:val="left"/>
      <w:pPr>
        <w:tabs>
          <w:tab w:val="num" w:pos="720"/>
        </w:tabs>
        <w:ind w:left="720" w:hanging="360"/>
      </w:pPr>
      <w:rPr>
        <w:rFonts w:ascii="Arial" w:hAnsi="Arial" w:hint="default"/>
      </w:rPr>
    </w:lvl>
    <w:lvl w:ilvl="1" w:tplc="F76EDB18" w:tentative="1">
      <w:start w:val="1"/>
      <w:numFmt w:val="bullet"/>
      <w:lvlText w:val="•"/>
      <w:lvlJc w:val="left"/>
      <w:pPr>
        <w:tabs>
          <w:tab w:val="num" w:pos="1440"/>
        </w:tabs>
        <w:ind w:left="1440" w:hanging="360"/>
      </w:pPr>
      <w:rPr>
        <w:rFonts w:ascii="Arial" w:hAnsi="Arial" w:hint="default"/>
      </w:rPr>
    </w:lvl>
    <w:lvl w:ilvl="2" w:tplc="C7D60A88" w:tentative="1">
      <w:start w:val="1"/>
      <w:numFmt w:val="bullet"/>
      <w:lvlText w:val="•"/>
      <w:lvlJc w:val="left"/>
      <w:pPr>
        <w:tabs>
          <w:tab w:val="num" w:pos="2160"/>
        </w:tabs>
        <w:ind w:left="2160" w:hanging="360"/>
      </w:pPr>
      <w:rPr>
        <w:rFonts w:ascii="Arial" w:hAnsi="Arial" w:hint="default"/>
      </w:rPr>
    </w:lvl>
    <w:lvl w:ilvl="3" w:tplc="7FA43C3A" w:tentative="1">
      <w:start w:val="1"/>
      <w:numFmt w:val="bullet"/>
      <w:lvlText w:val="•"/>
      <w:lvlJc w:val="left"/>
      <w:pPr>
        <w:tabs>
          <w:tab w:val="num" w:pos="2880"/>
        </w:tabs>
        <w:ind w:left="2880" w:hanging="360"/>
      </w:pPr>
      <w:rPr>
        <w:rFonts w:ascii="Arial" w:hAnsi="Arial" w:hint="default"/>
      </w:rPr>
    </w:lvl>
    <w:lvl w:ilvl="4" w:tplc="D4CC5428" w:tentative="1">
      <w:start w:val="1"/>
      <w:numFmt w:val="bullet"/>
      <w:lvlText w:val="•"/>
      <w:lvlJc w:val="left"/>
      <w:pPr>
        <w:tabs>
          <w:tab w:val="num" w:pos="3600"/>
        </w:tabs>
        <w:ind w:left="3600" w:hanging="360"/>
      </w:pPr>
      <w:rPr>
        <w:rFonts w:ascii="Arial" w:hAnsi="Arial" w:hint="default"/>
      </w:rPr>
    </w:lvl>
    <w:lvl w:ilvl="5" w:tplc="DEAAC612" w:tentative="1">
      <w:start w:val="1"/>
      <w:numFmt w:val="bullet"/>
      <w:lvlText w:val="•"/>
      <w:lvlJc w:val="left"/>
      <w:pPr>
        <w:tabs>
          <w:tab w:val="num" w:pos="4320"/>
        </w:tabs>
        <w:ind w:left="4320" w:hanging="360"/>
      </w:pPr>
      <w:rPr>
        <w:rFonts w:ascii="Arial" w:hAnsi="Arial" w:hint="default"/>
      </w:rPr>
    </w:lvl>
    <w:lvl w:ilvl="6" w:tplc="3BC8B9EC" w:tentative="1">
      <w:start w:val="1"/>
      <w:numFmt w:val="bullet"/>
      <w:lvlText w:val="•"/>
      <w:lvlJc w:val="left"/>
      <w:pPr>
        <w:tabs>
          <w:tab w:val="num" w:pos="5040"/>
        </w:tabs>
        <w:ind w:left="5040" w:hanging="360"/>
      </w:pPr>
      <w:rPr>
        <w:rFonts w:ascii="Arial" w:hAnsi="Arial" w:hint="default"/>
      </w:rPr>
    </w:lvl>
    <w:lvl w:ilvl="7" w:tplc="2842E570" w:tentative="1">
      <w:start w:val="1"/>
      <w:numFmt w:val="bullet"/>
      <w:lvlText w:val="•"/>
      <w:lvlJc w:val="left"/>
      <w:pPr>
        <w:tabs>
          <w:tab w:val="num" w:pos="5760"/>
        </w:tabs>
        <w:ind w:left="5760" w:hanging="360"/>
      </w:pPr>
      <w:rPr>
        <w:rFonts w:ascii="Arial" w:hAnsi="Arial" w:hint="default"/>
      </w:rPr>
    </w:lvl>
    <w:lvl w:ilvl="8" w:tplc="A5FC27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1D2F2E"/>
    <w:multiLevelType w:val="hybridMultilevel"/>
    <w:tmpl w:val="5C0A4D4E"/>
    <w:lvl w:ilvl="0" w:tplc="19ECDC54">
      <w:start w:val="1"/>
      <w:numFmt w:val="bullet"/>
      <w:lvlText w:val="•"/>
      <w:lvlJc w:val="left"/>
      <w:pPr>
        <w:tabs>
          <w:tab w:val="num" w:pos="720"/>
        </w:tabs>
        <w:ind w:left="720" w:hanging="360"/>
      </w:pPr>
      <w:rPr>
        <w:rFonts w:ascii="Arial" w:hAnsi="Arial" w:hint="default"/>
      </w:rPr>
    </w:lvl>
    <w:lvl w:ilvl="1" w:tplc="2DE06894" w:tentative="1">
      <w:start w:val="1"/>
      <w:numFmt w:val="bullet"/>
      <w:lvlText w:val="•"/>
      <w:lvlJc w:val="left"/>
      <w:pPr>
        <w:tabs>
          <w:tab w:val="num" w:pos="1440"/>
        </w:tabs>
        <w:ind w:left="1440" w:hanging="360"/>
      </w:pPr>
      <w:rPr>
        <w:rFonts w:ascii="Arial" w:hAnsi="Arial" w:hint="default"/>
      </w:rPr>
    </w:lvl>
    <w:lvl w:ilvl="2" w:tplc="844CD3BA" w:tentative="1">
      <w:start w:val="1"/>
      <w:numFmt w:val="bullet"/>
      <w:lvlText w:val="•"/>
      <w:lvlJc w:val="left"/>
      <w:pPr>
        <w:tabs>
          <w:tab w:val="num" w:pos="2160"/>
        </w:tabs>
        <w:ind w:left="2160" w:hanging="360"/>
      </w:pPr>
      <w:rPr>
        <w:rFonts w:ascii="Arial" w:hAnsi="Arial" w:hint="default"/>
      </w:rPr>
    </w:lvl>
    <w:lvl w:ilvl="3" w:tplc="39166C56" w:tentative="1">
      <w:start w:val="1"/>
      <w:numFmt w:val="bullet"/>
      <w:lvlText w:val="•"/>
      <w:lvlJc w:val="left"/>
      <w:pPr>
        <w:tabs>
          <w:tab w:val="num" w:pos="2880"/>
        </w:tabs>
        <w:ind w:left="2880" w:hanging="360"/>
      </w:pPr>
      <w:rPr>
        <w:rFonts w:ascii="Arial" w:hAnsi="Arial" w:hint="default"/>
      </w:rPr>
    </w:lvl>
    <w:lvl w:ilvl="4" w:tplc="93D625AC" w:tentative="1">
      <w:start w:val="1"/>
      <w:numFmt w:val="bullet"/>
      <w:lvlText w:val="•"/>
      <w:lvlJc w:val="left"/>
      <w:pPr>
        <w:tabs>
          <w:tab w:val="num" w:pos="3600"/>
        </w:tabs>
        <w:ind w:left="3600" w:hanging="360"/>
      </w:pPr>
      <w:rPr>
        <w:rFonts w:ascii="Arial" w:hAnsi="Arial" w:hint="default"/>
      </w:rPr>
    </w:lvl>
    <w:lvl w:ilvl="5" w:tplc="86C26294" w:tentative="1">
      <w:start w:val="1"/>
      <w:numFmt w:val="bullet"/>
      <w:lvlText w:val="•"/>
      <w:lvlJc w:val="left"/>
      <w:pPr>
        <w:tabs>
          <w:tab w:val="num" w:pos="4320"/>
        </w:tabs>
        <w:ind w:left="4320" w:hanging="360"/>
      </w:pPr>
      <w:rPr>
        <w:rFonts w:ascii="Arial" w:hAnsi="Arial" w:hint="default"/>
      </w:rPr>
    </w:lvl>
    <w:lvl w:ilvl="6" w:tplc="1CAAEFDC" w:tentative="1">
      <w:start w:val="1"/>
      <w:numFmt w:val="bullet"/>
      <w:lvlText w:val="•"/>
      <w:lvlJc w:val="left"/>
      <w:pPr>
        <w:tabs>
          <w:tab w:val="num" w:pos="5040"/>
        </w:tabs>
        <w:ind w:left="5040" w:hanging="360"/>
      </w:pPr>
      <w:rPr>
        <w:rFonts w:ascii="Arial" w:hAnsi="Arial" w:hint="default"/>
      </w:rPr>
    </w:lvl>
    <w:lvl w:ilvl="7" w:tplc="6D8626D6" w:tentative="1">
      <w:start w:val="1"/>
      <w:numFmt w:val="bullet"/>
      <w:lvlText w:val="•"/>
      <w:lvlJc w:val="left"/>
      <w:pPr>
        <w:tabs>
          <w:tab w:val="num" w:pos="5760"/>
        </w:tabs>
        <w:ind w:left="5760" w:hanging="360"/>
      </w:pPr>
      <w:rPr>
        <w:rFonts w:ascii="Arial" w:hAnsi="Arial" w:hint="default"/>
      </w:rPr>
    </w:lvl>
    <w:lvl w:ilvl="8" w:tplc="313070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4F507B"/>
    <w:multiLevelType w:val="hybridMultilevel"/>
    <w:tmpl w:val="A25C1CA0"/>
    <w:lvl w:ilvl="0" w:tplc="A52ACA72">
      <w:start w:val="1"/>
      <w:numFmt w:val="bullet"/>
      <w:lvlText w:val="•"/>
      <w:lvlJc w:val="left"/>
      <w:pPr>
        <w:tabs>
          <w:tab w:val="num" w:pos="720"/>
        </w:tabs>
        <w:ind w:left="720" w:hanging="360"/>
      </w:pPr>
      <w:rPr>
        <w:rFonts w:ascii="Arial" w:hAnsi="Arial" w:hint="default"/>
      </w:rPr>
    </w:lvl>
    <w:lvl w:ilvl="1" w:tplc="02FA946C" w:tentative="1">
      <w:start w:val="1"/>
      <w:numFmt w:val="bullet"/>
      <w:lvlText w:val="•"/>
      <w:lvlJc w:val="left"/>
      <w:pPr>
        <w:tabs>
          <w:tab w:val="num" w:pos="1440"/>
        </w:tabs>
        <w:ind w:left="1440" w:hanging="360"/>
      </w:pPr>
      <w:rPr>
        <w:rFonts w:ascii="Arial" w:hAnsi="Arial" w:hint="default"/>
      </w:rPr>
    </w:lvl>
    <w:lvl w:ilvl="2" w:tplc="7A00C96C" w:tentative="1">
      <w:start w:val="1"/>
      <w:numFmt w:val="bullet"/>
      <w:lvlText w:val="•"/>
      <w:lvlJc w:val="left"/>
      <w:pPr>
        <w:tabs>
          <w:tab w:val="num" w:pos="2160"/>
        </w:tabs>
        <w:ind w:left="2160" w:hanging="360"/>
      </w:pPr>
      <w:rPr>
        <w:rFonts w:ascii="Arial" w:hAnsi="Arial" w:hint="default"/>
      </w:rPr>
    </w:lvl>
    <w:lvl w:ilvl="3" w:tplc="C37043FE" w:tentative="1">
      <w:start w:val="1"/>
      <w:numFmt w:val="bullet"/>
      <w:lvlText w:val="•"/>
      <w:lvlJc w:val="left"/>
      <w:pPr>
        <w:tabs>
          <w:tab w:val="num" w:pos="2880"/>
        </w:tabs>
        <w:ind w:left="2880" w:hanging="360"/>
      </w:pPr>
      <w:rPr>
        <w:rFonts w:ascii="Arial" w:hAnsi="Arial" w:hint="default"/>
      </w:rPr>
    </w:lvl>
    <w:lvl w:ilvl="4" w:tplc="F62460D2" w:tentative="1">
      <w:start w:val="1"/>
      <w:numFmt w:val="bullet"/>
      <w:lvlText w:val="•"/>
      <w:lvlJc w:val="left"/>
      <w:pPr>
        <w:tabs>
          <w:tab w:val="num" w:pos="3600"/>
        </w:tabs>
        <w:ind w:left="3600" w:hanging="360"/>
      </w:pPr>
      <w:rPr>
        <w:rFonts w:ascii="Arial" w:hAnsi="Arial" w:hint="default"/>
      </w:rPr>
    </w:lvl>
    <w:lvl w:ilvl="5" w:tplc="F0023828" w:tentative="1">
      <w:start w:val="1"/>
      <w:numFmt w:val="bullet"/>
      <w:lvlText w:val="•"/>
      <w:lvlJc w:val="left"/>
      <w:pPr>
        <w:tabs>
          <w:tab w:val="num" w:pos="4320"/>
        </w:tabs>
        <w:ind w:left="4320" w:hanging="360"/>
      </w:pPr>
      <w:rPr>
        <w:rFonts w:ascii="Arial" w:hAnsi="Arial" w:hint="default"/>
      </w:rPr>
    </w:lvl>
    <w:lvl w:ilvl="6" w:tplc="CA280B1C" w:tentative="1">
      <w:start w:val="1"/>
      <w:numFmt w:val="bullet"/>
      <w:lvlText w:val="•"/>
      <w:lvlJc w:val="left"/>
      <w:pPr>
        <w:tabs>
          <w:tab w:val="num" w:pos="5040"/>
        </w:tabs>
        <w:ind w:left="5040" w:hanging="360"/>
      </w:pPr>
      <w:rPr>
        <w:rFonts w:ascii="Arial" w:hAnsi="Arial" w:hint="default"/>
      </w:rPr>
    </w:lvl>
    <w:lvl w:ilvl="7" w:tplc="A3126E8A" w:tentative="1">
      <w:start w:val="1"/>
      <w:numFmt w:val="bullet"/>
      <w:lvlText w:val="•"/>
      <w:lvlJc w:val="left"/>
      <w:pPr>
        <w:tabs>
          <w:tab w:val="num" w:pos="5760"/>
        </w:tabs>
        <w:ind w:left="5760" w:hanging="360"/>
      </w:pPr>
      <w:rPr>
        <w:rFonts w:ascii="Arial" w:hAnsi="Arial" w:hint="default"/>
      </w:rPr>
    </w:lvl>
    <w:lvl w:ilvl="8" w:tplc="19204F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8499E"/>
    <w:multiLevelType w:val="hybridMultilevel"/>
    <w:tmpl w:val="D6D65520"/>
    <w:lvl w:ilvl="0" w:tplc="421A5DCC">
      <w:start w:val="1"/>
      <w:numFmt w:val="bullet"/>
      <w:lvlText w:val=""/>
      <w:lvlJc w:val="left"/>
      <w:pPr>
        <w:tabs>
          <w:tab w:val="num" w:pos="720"/>
        </w:tabs>
        <w:ind w:left="720" w:hanging="360"/>
      </w:pPr>
      <w:rPr>
        <w:rFonts w:ascii="Wingdings" w:hAnsi="Wingdings" w:hint="default"/>
      </w:rPr>
    </w:lvl>
    <w:lvl w:ilvl="1" w:tplc="E0BC3130" w:tentative="1">
      <w:start w:val="1"/>
      <w:numFmt w:val="bullet"/>
      <w:lvlText w:val=""/>
      <w:lvlJc w:val="left"/>
      <w:pPr>
        <w:tabs>
          <w:tab w:val="num" w:pos="1440"/>
        </w:tabs>
        <w:ind w:left="1440" w:hanging="360"/>
      </w:pPr>
      <w:rPr>
        <w:rFonts w:ascii="Wingdings" w:hAnsi="Wingdings" w:hint="default"/>
      </w:rPr>
    </w:lvl>
    <w:lvl w:ilvl="2" w:tplc="7E82C2D4" w:tentative="1">
      <w:start w:val="1"/>
      <w:numFmt w:val="bullet"/>
      <w:lvlText w:val=""/>
      <w:lvlJc w:val="left"/>
      <w:pPr>
        <w:tabs>
          <w:tab w:val="num" w:pos="2160"/>
        </w:tabs>
        <w:ind w:left="2160" w:hanging="360"/>
      </w:pPr>
      <w:rPr>
        <w:rFonts w:ascii="Wingdings" w:hAnsi="Wingdings" w:hint="default"/>
      </w:rPr>
    </w:lvl>
    <w:lvl w:ilvl="3" w:tplc="F6D049DE" w:tentative="1">
      <w:start w:val="1"/>
      <w:numFmt w:val="bullet"/>
      <w:lvlText w:val=""/>
      <w:lvlJc w:val="left"/>
      <w:pPr>
        <w:tabs>
          <w:tab w:val="num" w:pos="2880"/>
        </w:tabs>
        <w:ind w:left="2880" w:hanging="360"/>
      </w:pPr>
      <w:rPr>
        <w:rFonts w:ascii="Wingdings" w:hAnsi="Wingdings" w:hint="default"/>
      </w:rPr>
    </w:lvl>
    <w:lvl w:ilvl="4" w:tplc="268AEC62" w:tentative="1">
      <w:start w:val="1"/>
      <w:numFmt w:val="bullet"/>
      <w:lvlText w:val=""/>
      <w:lvlJc w:val="left"/>
      <w:pPr>
        <w:tabs>
          <w:tab w:val="num" w:pos="3600"/>
        </w:tabs>
        <w:ind w:left="3600" w:hanging="360"/>
      </w:pPr>
      <w:rPr>
        <w:rFonts w:ascii="Wingdings" w:hAnsi="Wingdings" w:hint="default"/>
      </w:rPr>
    </w:lvl>
    <w:lvl w:ilvl="5" w:tplc="2708C648" w:tentative="1">
      <w:start w:val="1"/>
      <w:numFmt w:val="bullet"/>
      <w:lvlText w:val=""/>
      <w:lvlJc w:val="left"/>
      <w:pPr>
        <w:tabs>
          <w:tab w:val="num" w:pos="4320"/>
        </w:tabs>
        <w:ind w:left="4320" w:hanging="360"/>
      </w:pPr>
      <w:rPr>
        <w:rFonts w:ascii="Wingdings" w:hAnsi="Wingdings" w:hint="default"/>
      </w:rPr>
    </w:lvl>
    <w:lvl w:ilvl="6" w:tplc="595C8834" w:tentative="1">
      <w:start w:val="1"/>
      <w:numFmt w:val="bullet"/>
      <w:lvlText w:val=""/>
      <w:lvlJc w:val="left"/>
      <w:pPr>
        <w:tabs>
          <w:tab w:val="num" w:pos="5040"/>
        </w:tabs>
        <w:ind w:left="5040" w:hanging="360"/>
      </w:pPr>
      <w:rPr>
        <w:rFonts w:ascii="Wingdings" w:hAnsi="Wingdings" w:hint="default"/>
      </w:rPr>
    </w:lvl>
    <w:lvl w:ilvl="7" w:tplc="9B4650FC" w:tentative="1">
      <w:start w:val="1"/>
      <w:numFmt w:val="bullet"/>
      <w:lvlText w:val=""/>
      <w:lvlJc w:val="left"/>
      <w:pPr>
        <w:tabs>
          <w:tab w:val="num" w:pos="5760"/>
        </w:tabs>
        <w:ind w:left="5760" w:hanging="360"/>
      </w:pPr>
      <w:rPr>
        <w:rFonts w:ascii="Wingdings" w:hAnsi="Wingdings" w:hint="default"/>
      </w:rPr>
    </w:lvl>
    <w:lvl w:ilvl="8" w:tplc="53D6CE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63427"/>
    <w:multiLevelType w:val="hybridMultilevel"/>
    <w:tmpl w:val="0BC8360E"/>
    <w:lvl w:ilvl="0" w:tplc="258245EA">
      <w:start w:val="1"/>
      <w:numFmt w:val="bullet"/>
      <w:lvlText w:val=""/>
      <w:lvlJc w:val="left"/>
      <w:pPr>
        <w:tabs>
          <w:tab w:val="num" w:pos="720"/>
        </w:tabs>
        <w:ind w:left="720" w:hanging="360"/>
      </w:pPr>
      <w:rPr>
        <w:rFonts w:ascii="Wingdings" w:hAnsi="Wingdings" w:hint="default"/>
      </w:rPr>
    </w:lvl>
    <w:lvl w:ilvl="1" w:tplc="73E2246A" w:tentative="1">
      <w:start w:val="1"/>
      <w:numFmt w:val="bullet"/>
      <w:lvlText w:val=""/>
      <w:lvlJc w:val="left"/>
      <w:pPr>
        <w:tabs>
          <w:tab w:val="num" w:pos="1440"/>
        </w:tabs>
        <w:ind w:left="1440" w:hanging="360"/>
      </w:pPr>
      <w:rPr>
        <w:rFonts w:ascii="Wingdings" w:hAnsi="Wingdings" w:hint="default"/>
      </w:rPr>
    </w:lvl>
    <w:lvl w:ilvl="2" w:tplc="7D5A71AA" w:tentative="1">
      <w:start w:val="1"/>
      <w:numFmt w:val="bullet"/>
      <w:lvlText w:val=""/>
      <w:lvlJc w:val="left"/>
      <w:pPr>
        <w:tabs>
          <w:tab w:val="num" w:pos="2160"/>
        </w:tabs>
        <w:ind w:left="2160" w:hanging="360"/>
      </w:pPr>
      <w:rPr>
        <w:rFonts w:ascii="Wingdings" w:hAnsi="Wingdings" w:hint="default"/>
      </w:rPr>
    </w:lvl>
    <w:lvl w:ilvl="3" w:tplc="1E421D68" w:tentative="1">
      <w:start w:val="1"/>
      <w:numFmt w:val="bullet"/>
      <w:lvlText w:val=""/>
      <w:lvlJc w:val="left"/>
      <w:pPr>
        <w:tabs>
          <w:tab w:val="num" w:pos="2880"/>
        </w:tabs>
        <w:ind w:left="2880" w:hanging="360"/>
      </w:pPr>
      <w:rPr>
        <w:rFonts w:ascii="Wingdings" w:hAnsi="Wingdings" w:hint="default"/>
      </w:rPr>
    </w:lvl>
    <w:lvl w:ilvl="4" w:tplc="78E66F2C" w:tentative="1">
      <w:start w:val="1"/>
      <w:numFmt w:val="bullet"/>
      <w:lvlText w:val=""/>
      <w:lvlJc w:val="left"/>
      <w:pPr>
        <w:tabs>
          <w:tab w:val="num" w:pos="3600"/>
        </w:tabs>
        <w:ind w:left="3600" w:hanging="360"/>
      </w:pPr>
      <w:rPr>
        <w:rFonts w:ascii="Wingdings" w:hAnsi="Wingdings" w:hint="default"/>
      </w:rPr>
    </w:lvl>
    <w:lvl w:ilvl="5" w:tplc="74BE0648" w:tentative="1">
      <w:start w:val="1"/>
      <w:numFmt w:val="bullet"/>
      <w:lvlText w:val=""/>
      <w:lvlJc w:val="left"/>
      <w:pPr>
        <w:tabs>
          <w:tab w:val="num" w:pos="4320"/>
        </w:tabs>
        <w:ind w:left="4320" w:hanging="360"/>
      </w:pPr>
      <w:rPr>
        <w:rFonts w:ascii="Wingdings" w:hAnsi="Wingdings" w:hint="default"/>
      </w:rPr>
    </w:lvl>
    <w:lvl w:ilvl="6" w:tplc="54F0DB82" w:tentative="1">
      <w:start w:val="1"/>
      <w:numFmt w:val="bullet"/>
      <w:lvlText w:val=""/>
      <w:lvlJc w:val="left"/>
      <w:pPr>
        <w:tabs>
          <w:tab w:val="num" w:pos="5040"/>
        </w:tabs>
        <w:ind w:left="5040" w:hanging="360"/>
      </w:pPr>
      <w:rPr>
        <w:rFonts w:ascii="Wingdings" w:hAnsi="Wingdings" w:hint="default"/>
      </w:rPr>
    </w:lvl>
    <w:lvl w:ilvl="7" w:tplc="8DD48518" w:tentative="1">
      <w:start w:val="1"/>
      <w:numFmt w:val="bullet"/>
      <w:lvlText w:val=""/>
      <w:lvlJc w:val="left"/>
      <w:pPr>
        <w:tabs>
          <w:tab w:val="num" w:pos="5760"/>
        </w:tabs>
        <w:ind w:left="5760" w:hanging="360"/>
      </w:pPr>
      <w:rPr>
        <w:rFonts w:ascii="Wingdings" w:hAnsi="Wingdings" w:hint="default"/>
      </w:rPr>
    </w:lvl>
    <w:lvl w:ilvl="8" w:tplc="6FDA771E" w:tentative="1">
      <w:start w:val="1"/>
      <w:numFmt w:val="bullet"/>
      <w:lvlText w:val=""/>
      <w:lvlJc w:val="left"/>
      <w:pPr>
        <w:tabs>
          <w:tab w:val="num" w:pos="6480"/>
        </w:tabs>
        <w:ind w:left="6480" w:hanging="360"/>
      </w:pPr>
      <w:rPr>
        <w:rFonts w:ascii="Wingdings" w:hAnsi="Wingdings" w:hint="default"/>
      </w:rPr>
    </w:lvl>
  </w:abstractNum>
  <w:num w:numId="1" w16cid:durableId="1635795505">
    <w:abstractNumId w:val="1"/>
  </w:num>
  <w:num w:numId="2" w16cid:durableId="229385591">
    <w:abstractNumId w:val="0"/>
  </w:num>
  <w:num w:numId="3" w16cid:durableId="1836990503">
    <w:abstractNumId w:val="2"/>
  </w:num>
  <w:num w:numId="4" w16cid:durableId="1850557439">
    <w:abstractNumId w:val="3"/>
  </w:num>
  <w:num w:numId="5" w16cid:durableId="39054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527"/>
    <w:rsid w:val="000D1A2C"/>
    <w:rsid w:val="001C014D"/>
    <w:rsid w:val="00A00527"/>
    <w:rsid w:val="00B74B22"/>
    <w:rsid w:val="00C0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6F28"/>
  <w15:chartTrackingRefBased/>
  <w15:docId w15:val="{EE5242B2-D082-4CCC-AEFC-4CAA3E0D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0527"/>
    <w:rPr>
      <w:b/>
      <w:bCs/>
    </w:rPr>
  </w:style>
  <w:style w:type="character" w:styleId="Hyperlink">
    <w:name w:val="Hyperlink"/>
    <w:basedOn w:val="DefaultParagraphFont"/>
    <w:uiPriority w:val="99"/>
    <w:unhideWhenUsed/>
    <w:rsid w:val="00A00527"/>
    <w:rPr>
      <w:color w:val="0563C1" w:themeColor="hyperlink"/>
      <w:u w:val="single"/>
    </w:rPr>
  </w:style>
  <w:style w:type="character" w:styleId="UnresolvedMention">
    <w:name w:val="Unresolved Mention"/>
    <w:basedOn w:val="DefaultParagraphFont"/>
    <w:uiPriority w:val="99"/>
    <w:semiHidden/>
    <w:unhideWhenUsed/>
    <w:rsid w:val="00A00527"/>
    <w:rPr>
      <w:color w:val="605E5C"/>
      <w:shd w:val="clear" w:color="auto" w:fill="E1DFDD"/>
    </w:rPr>
  </w:style>
  <w:style w:type="paragraph" w:styleId="ListParagraph">
    <w:name w:val="List Paragraph"/>
    <w:basedOn w:val="Normal"/>
    <w:uiPriority w:val="34"/>
    <w:qFormat/>
    <w:rsid w:val="00A00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4909">
      <w:bodyDiv w:val="1"/>
      <w:marLeft w:val="0"/>
      <w:marRight w:val="0"/>
      <w:marTop w:val="0"/>
      <w:marBottom w:val="0"/>
      <w:divBdr>
        <w:top w:val="none" w:sz="0" w:space="0" w:color="auto"/>
        <w:left w:val="none" w:sz="0" w:space="0" w:color="auto"/>
        <w:bottom w:val="none" w:sz="0" w:space="0" w:color="auto"/>
        <w:right w:val="none" w:sz="0" w:space="0" w:color="auto"/>
      </w:divBdr>
      <w:divsChild>
        <w:div w:id="455022950">
          <w:marLeft w:val="547"/>
          <w:marRight w:val="0"/>
          <w:marTop w:val="200"/>
          <w:marBottom w:val="0"/>
          <w:divBdr>
            <w:top w:val="none" w:sz="0" w:space="0" w:color="auto"/>
            <w:left w:val="none" w:sz="0" w:space="0" w:color="auto"/>
            <w:bottom w:val="none" w:sz="0" w:space="0" w:color="auto"/>
            <w:right w:val="none" w:sz="0" w:space="0" w:color="auto"/>
          </w:divBdr>
        </w:div>
        <w:div w:id="2046442348">
          <w:marLeft w:val="547"/>
          <w:marRight w:val="0"/>
          <w:marTop w:val="200"/>
          <w:marBottom w:val="0"/>
          <w:divBdr>
            <w:top w:val="none" w:sz="0" w:space="0" w:color="auto"/>
            <w:left w:val="none" w:sz="0" w:space="0" w:color="auto"/>
            <w:bottom w:val="none" w:sz="0" w:space="0" w:color="auto"/>
            <w:right w:val="none" w:sz="0" w:space="0" w:color="auto"/>
          </w:divBdr>
        </w:div>
        <w:div w:id="829827795">
          <w:marLeft w:val="547"/>
          <w:marRight w:val="0"/>
          <w:marTop w:val="200"/>
          <w:marBottom w:val="0"/>
          <w:divBdr>
            <w:top w:val="none" w:sz="0" w:space="0" w:color="auto"/>
            <w:left w:val="none" w:sz="0" w:space="0" w:color="auto"/>
            <w:bottom w:val="none" w:sz="0" w:space="0" w:color="auto"/>
            <w:right w:val="none" w:sz="0" w:space="0" w:color="auto"/>
          </w:divBdr>
        </w:div>
        <w:div w:id="1940528531">
          <w:marLeft w:val="547"/>
          <w:marRight w:val="0"/>
          <w:marTop w:val="200"/>
          <w:marBottom w:val="0"/>
          <w:divBdr>
            <w:top w:val="none" w:sz="0" w:space="0" w:color="auto"/>
            <w:left w:val="none" w:sz="0" w:space="0" w:color="auto"/>
            <w:bottom w:val="none" w:sz="0" w:space="0" w:color="auto"/>
            <w:right w:val="none" w:sz="0" w:space="0" w:color="auto"/>
          </w:divBdr>
        </w:div>
      </w:divsChild>
    </w:div>
    <w:div w:id="812406116">
      <w:bodyDiv w:val="1"/>
      <w:marLeft w:val="0"/>
      <w:marRight w:val="0"/>
      <w:marTop w:val="0"/>
      <w:marBottom w:val="0"/>
      <w:divBdr>
        <w:top w:val="none" w:sz="0" w:space="0" w:color="auto"/>
        <w:left w:val="none" w:sz="0" w:space="0" w:color="auto"/>
        <w:bottom w:val="none" w:sz="0" w:space="0" w:color="auto"/>
        <w:right w:val="none" w:sz="0" w:space="0" w:color="auto"/>
      </w:divBdr>
    </w:div>
    <w:div w:id="868299552">
      <w:bodyDiv w:val="1"/>
      <w:marLeft w:val="0"/>
      <w:marRight w:val="0"/>
      <w:marTop w:val="0"/>
      <w:marBottom w:val="0"/>
      <w:divBdr>
        <w:top w:val="none" w:sz="0" w:space="0" w:color="auto"/>
        <w:left w:val="none" w:sz="0" w:space="0" w:color="auto"/>
        <w:bottom w:val="none" w:sz="0" w:space="0" w:color="auto"/>
        <w:right w:val="none" w:sz="0" w:space="0" w:color="auto"/>
      </w:divBdr>
      <w:divsChild>
        <w:div w:id="437025017">
          <w:marLeft w:val="360"/>
          <w:marRight w:val="0"/>
          <w:marTop w:val="200"/>
          <w:marBottom w:val="0"/>
          <w:divBdr>
            <w:top w:val="none" w:sz="0" w:space="0" w:color="auto"/>
            <w:left w:val="none" w:sz="0" w:space="0" w:color="auto"/>
            <w:bottom w:val="none" w:sz="0" w:space="0" w:color="auto"/>
            <w:right w:val="none" w:sz="0" w:space="0" w:color="auto"/>
          </w:divBdr>
        </w:div>
        <w:div w:id="1433159238">
          <w:marLeft w:val="360"/>
          <w:marRight w:val="0"/>
          <w:marTop w:val="200"/>
          <w:marBottom w:val="0"/>
          <w:divBdr>
            <w:top w:val="none" w:sz="0" w:space="0" w:color="auto"/>
            <w:left w:val="none" w:sz="0" w:space="0" w:color="auto"/>
            <w:bottom w:val="none" w:sz="0" w:space="0" w:color="auto"/>
            <w:right w:val="none" w:sz="0" w:space="0" w:color="auto"/>
          </w:divBdr>
        </w:div>
        <w:div w:id="298539484">
          <w:marLeft w:val="360"/>
          <w:marRight w:val="0"/>
          <w:marTop w:val="200"/>
          <w:marBottom w:val="0"/>
          <w:divBdr>
            <w:top w:val="none" w:sz="0" w:space="0" w:color="auto"/>
            <w:left w:val="none" w:sz="0" w:space="0" w:color="auto"/>
            <w:bottom w:val="none" w:sz="0" w:space="0" w:color="auto"/>
            <w:right w:val="none" w:sz="0" w:space="0" w:color="auto"/>
          </w:divBdr>
        </w:div>
        <w:div w:id="31730749">
          <w:marLeft w:val="360"/>
          <w:marRight w:val="0"/>
          <w:marTop w:val="200"/>
          <w:marBottom w:val="0"/>
          <w:divBdr>
            <w:top w:val="none" w:sz="0" w:space="0" w:color="auto"/>
            <w:left w:val="none" w:sz="0" w:space="0" w:color="auto"/>
            <w:bottom w:val="none" w:sz="0" w:space="0" w:color="auto"/>
            <w:right w:val="none" w:sz="0" w:space="0" w:color="auto"/>
          </w:divBdr>
        </w:div>
      </w:divsChild>
    </w:div>
    <w:div w:id="933513563">
      <w:bodyDiv w:val="1"/>
      <w:marLeft w:val="0"/>
      <w:marRight w:val="0"/>
      <w:marTop w:val="0"/>
      <w:marBottom w:val="0"/>
      <w:divBdr>
        <w:top w:val="none" w:sz="0" w:space="0" w:color="auto"/>
        <w:left w:val="none" w:sz="0" w:space="0" w:color="auto"/>
        <w:bottom w:val="none" w:sz="0" w:space="0" w:color="auto"/>
        <w:right w:val="none" w:sz="0" w:space="0" w:color="auto"/>
      </w:divBdr>
      <w:divsChild>
        <w:div w:id="1196118540">
          <w:marLeft w:val="360"/>
          <w:marRight w:val="0"/>
          <w:marTop w:val="200"/>
          <w:marBottom w:val="0"/>
          <w:divBdr>
            <w:top w:val="none" w:sz="0" w:space="0" w:color="auto"/>
            <w:left w:val="none" w:sz="0" w:space="0" w:color="auto"/>
            <w:bottom w:val="none" w:sz="0" w:space="0" w:color="auto"/>
            <w:right w:val="none" w:sz="0" w:space="0" w:color="auto"/>
          </w:divBdr>
        </w:div>
        <w:div w:id="2065982203">
          <w:marLeft w:val="360"/>
          <w:marRight w:val="0"/>
          <w:marTop w:val="200"/>
          <w:marBottom w:val="0"/>
          <w:divBdr>
            <w:top w:val="none" w:sz="0" w:space="0" w:color="auto"/>
            <w:left w:val="none" w:sz="0" w:space="0" w:color="auto"/>
            <w:bottom w:val="none" w:sz="0" w:space="0" w:color="auto"/>
            <w:right w:val="none" w:sz="0" w:space="0" w:color="auto"/>
          </w:divBdr>
        </w:div>
        <w:div w:id="1170408607">
          <w:marLeft w:val="360"/>
          <w:marRight w:val="0"/>
          <w:marTop w:val="200"/>
          <w:marBottom w:val="0"/>
          <w:divBdr>
            <w:top w:val="none" w:sz="0" w:space="0" w:color="auto"/>
            <w:left w:val="none" w:sz="0" w:space="0" w:color="auto"/>
            <w:bottom w:val="none" w:sz="0" w:space="0" w:color="auto"/>
            <w:right w:val="none" w:sz="0" w:space="0" w:color="auto"/>
          </w:divBdr>
        </w:div>
        <w:div w:id="1107887257">
          <w:marLeft w:val="360"/>
          <w:marRight w:val="0"/>
          <w:marTop w:val="200"/>
          <w:marBottom w:val="0"/>
          <w:divBdr>
            <w:top w:val="none" w:sz="0" w:space="0" w:color="auto"/>
            <w:left w:val="none" w:sz="0" w:space="0" w:color="auto"/>
            <w:bottom w:val="none" w:sz="0" w:space="0" w:color="auto"/>
            <w:right w:val="none" w:sz="0" w:space="0" w:color="auto"/>
          </w:divBdr>
        </w:div>
        <w:div w:id="1610701068">
          <w:marLeft w:val="360"/>
          <w:marRight w:val="0"/>
          <w:marTop w:val="200"/>
          <w:marBottom w:val="0"/>
          <w:divBdr>
            <w:top w:val="none" w:sz="0" w:space="0" w:color="auto"/>
            <w:left w:val="none" w:sz="0" w:space="0" w:color="auto"/>
            <w:bottom w:val="none" w:sz="0" w:space="0" w:color="auto"/>
            <w:right w:val="none" w:sz="0" w:space="0" w:color="auto"/>
          </w:divBdr>
        </w:div>
      </w:divsChild>
    </w:div>
    <w:div w:id="1017345146">
      <w:bodyDiv w:val="1"/>
      <w:marLeft w:val="0"/>
      <w:marRight w:val="0"/>
      <w:marTop w:val="0"/>
      <w:marBottom w:val="0"/>
      <w:divBdr>
        <w:top w:val="none" w:sz="0" w:space="0" w:color="auto"/>
        <w:left w:val="none" w:sz="0" w:space="0" w:color="auto"/>
        <w:bottom w:val="none" w:sz="0" w:space="0" w:color="auto"/>
        <w:right w:val="none" w:sz="0" w:space="0" w:color="auto"/>
      </w:divBdr>
    </w:div>
    <w:div w:id="1041900010">
      <w:bodyDiv w:val="1"/>
      <w:marLeft w:val="0"/>
      <w:marRight w:val="0"/>
      <w:marTop w:val="0"/>
      <w:marBottom w:val="0"/>
      <w:divBdr>
        <w:top w:val="none" w:sz="0" w:space="0" w:color="auto"/>
        <w:left w:val="none" w:sz="0" w:space="0" w:color="auto"/>
        <w:bottom w:val="none" w:sz="0" w:space="0" w:color="auto"/>
        <w:right w:val="none" w:sz="0" w:space="0" w:color="auto"/>
      </w:divBdr>
      <w:divsChild>
        <w:div w:id="1055931155">
          <w:marLeft w:val="547"/>
          <w:marRight w:val="0"/>
          <w:marTop w:val="200"/>
          <w:marBottom w:val="0"/>
          <w:divBdr>
            <w:top w:val="none" w:sz="0" w:space="0" w:color="auto"/>
            <w:left w:val="none" w:sz="0" w:space="0" w:color="auto"/>
            <w:bottom w:val="none" w:sz="0" w:space="0" w:color="auto"/>
            <w:right w:val="none" w:sz="0" w:space="0" w:color="auto"/>
          </w:divBdr>
        </w:div>
        <w:div w:id="1076050227">
          <w:marLeft w:val="547"/>
          <w:marRight w:val="0"/>
          <w:marTop w:val="200"/>
          <w:marBottom w:val="0"/>
          <w:divBdr>
            <w:top w:val="none" w:sz="0" w:space="0" w:color="auto"/>
            <w:left w:val="none" w:sz="0" w:space="0" w:color="auto"/>
            <w:bottom w:val="none" w:sz="0" w:space="0" w:color="auto"/>
            <w:right w:val="none" w:sz="0" w:space="0" w:color="auto"/>
          </w:divBdr>
        </w:div>
        <w:div w:id="335234508">
          <w:marLeft w:val="547"/>
          <w:marRight w:val="0"/>
          <w:marTop w:val="200"/>
          <w:marBottom w:val="0"/>
          <w:divBdr>
            <w:top w:val="none" w:sz="0" w:space="0" w:color="auto"/>
            <w:left w:val="none" w:sz="0" w:space="0" w:color="auto"/>
            <w:bottom w:val="none" w:sz="0" w:space="0" w:color="auto"/>
            <w:right w:val="none" w:sz="0" w:space="0" w:color="auto"/>
          </w:divBdr>
        </w:div>
      </w:divsChild>
    </w:div>
    <w:div w:id="1184052868">
      <w:bodyDiv w:val="1"/>
      <w:marLeft w:val="0"/>
      <w:marRight w:val="0"/>
      <w:marTop w:val="0"/>
      <w:marBottom w:val="0"/>
      <w:divBdr>
        <w:top w:val="none" w:sz="0" w:space="0" w:color="auto"/>
        <w:left w:val="none" w:sz="0" w:space="0" w:color="auto"/>
        <w:bottom w:val="none" w:sz="0" w:space="0" w:color="auto"/>
        <w:right w:val="none" w:sz="0" w:space="0" w:color="auto"/>
      </w:divBdr>
    </w:div>
    <w:div w:id="211020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hs.gov/grants/grants/grants-policies-regulations/lobbying-restrictions.html#ftn5" TargetMode="External"/><Relationship Id="rId5" Type="http://schemas.openxmlformats.org/officeDocument/2006/relationships/hyperlink" Target="https://www.acl.gov/sites/default/files/about-acl/2016-12/dd_act_200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1</cp:revision>
  <dcterms:created xsi:type="dcterms:W3CDTF">2023-05-01T16:41:00Z</dcterms:created>
  <dcterms:modified xsi:type="dcterms:W3CDTF">2023-05-01T16:49:00Z</dcterms:modified>
</cp:coreProperties>
</file>