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65225" w14:textId="4F7F59DB" w:rsidR="003479D0" w:rsidRPr="009F6E30" w:rsidRDefault="00BB32E6" w:rsidP="009F6E30">
      <w:pPr>
        <w:pStyle w:val="Heading1"/>
      </w:pPr>
      <w:bookmarkStart w:id="0" w:name="_Hlk121812857"/>
      <w:r w:rsidRPr="00187262">
        <w:rPr>
          <w:noProof/>
        </w:rPr>
        <w:drawing>
          <wp:anchor distT="0" distB="0" distL="114300" distR="114300" simplePos="0" relativeHeight="251659264" behindDoc="1" locked="0" layoutInCell="1" allowOverlap="1" wp14:anchorId="134808AD" wp14:editId="3C859EED">
            <wp:simplePos x="0" y="0"/>
            <wp:positionH relativeFrom="margin">
              <wp:align>left</wp:align>
            </wp:positionH>
            <wp:positionV relativeFrom="paragraph">
              <wp:posOffset>161925</wp:posOffset>
            </wp:positionV>
            <wp:extent cx="619125" cy="813435"/>
            <wp:effectExtent l="0" t="0" r="9525" b="5715"/>
            <wp:wrapTight wrapText="bothSides">
              <wp:wrapPolygon edited="0">
                <wp:start x="0" y="0"/>
                <wp:lineTo x="0" y="21246"/>
                <wp:lineTo x="21268" y="21246"/>
                <wp:lineTo x="212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813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79D0" w:rsidRPr="009F6E30">
        <w:t>NEVADA GOVERNOR’S COUNCIL ON</w:t>
      </w:r>
      <w:r w:rsidR="00983644">
        <w:t xml:space="preserve"> </w:t>
      </w:r>
      <w:r w:rsidR="003479D0" w:rsidRPr="009F6E30">
        <w:t>DEVELOPMENTAL DISABILITIES</w:t>
      </w:r>
    </w:p>
    <w:p w14:paraId="51CA1248" w14:textId="73AAE812" w:rsidR="003479D0" w:rsidRPr="009F6E30" w:rsidRDefault="00B568F6" w:rsidP="009F6E30">
      <w:pPr>
        <w:pStyle w:val="Heading2"/>
        <w:rPr>
          <w:rStyle w:val="Strong"/>
          <w:b w:val="0"/>
          <w:bCs w:val="0"/>
        </w:rPr>
      </w:pPr>
      <w:r>
        <w:rPr>
          <w:rStyle w:val="Strong"/>
          <w:b w:val="0"/>
          <w:bCs w:val="0"/>
        </w:rPr>
        <w:t xml:space="preserve">DRAFT </w:t>
      </w:r>
      <w:r w:rsidR="003479D0" w:rsidRPr="009F6E30">
        <w:rPr>
          <w:rStyle w:val="Strong"/>
          <w:b w:val="0"/>
          <w:bCs w:val="0"/>
        </w:rPr>
        <w:t xml:space="preserve">Position on </w:t>
      </w:r>
      <w:r w:rsidR="00CF0DFD">
        <w:rPr>
          <w:rStyle w:val="Strong"/>
          <w:b w:val="0"/>
          <w:bCs w:val="0"/>
        </w:rPr>
        <w:t>Dental Care</w:t>
      </w:r>
    </w:p>
    <w:p w14:paraId="502C40E0" w14:textId="77777777" w:rsidR="009F6E30" w:rsidRPr="009F6E30" w:rsidRDefault="009F6E30" w:rsidP="009F6E30"/>
    <w:p w14:paraId="6E30F995" w14:textId="77777777" w:rsidR="00CC4304" w:rsidRPr="00CC4304" w:rsidRDefault="00CC4304" w:rsidP="00CC4304">
      <w:pPr>
        <w:rPr>
          <w:rFonts w:ascii="Calibri" w:hAnsi="Calibri" w:cs="Calibri"/>
          <w:color w:val="1A1A1A"/>
          <w:sz w:val="28"/>
          <w:szCs w:val="28"/>
          <w:highlight w:val="yellow"/>
          <w:shd w:val="clear" w:color="auto" w:fill="FFFFFF"/>
        </w:rPr>
      </w:pPr>
      <w:r w:rsidRPr="00CC4304">
        <w:rPr>
          <w:rFonts w:ascii="Calibri" w:hAnsi="Calibri" w:cs="Calibri"/>
          <w:b/>
          <w:bCs/>
          <w:color w:val="1A1A1A"/>
          <w:sz w:val="28"/>
          <w:szCs w:val="28"/>
          <w:highlight w:val="yellow"/>
          <w:shd w:val="clear" w:color="auto" w:fill="FFFFFF"/>
        </w:rPr>
        <w:t>Introduction</w:t>
      </w:r>
      <w:r w:rsidRPr="00CC4304">
        <w:rPr>
          <w:rFonts w:ascii="Calibri" w:hAnsi="Calibri" w:cs="Calibri"/>
          <w:color w:val="1A1A1A"/>
          <w:sz w:val="28"/>
          <w:szCs w:val="28"/>
          <w:highlight w:val="yellow"/>
          <w:shd w:val="clear" w:color="auto" w:fill="FFFFFF"/>
        </w:rPr>
        <w:br/>
        <w:t>Oral health is a fundamental component of overall health. It encompasses the ability to speak, eat, smile, and live without pain or infection. For individuals with intellectual and developmental disabilities (I/DD), oral health is not only a matter of physical wellbeing, but also directly influences quality of life, communication, nutrition, social participation, and autonomy. Yet, people with I/DD disproportionately experience poor oral health outcomes and face significant barriers in accessing quality, affordable, and respectful dental care.</w:t>
      </w:r>
    </w:p>
    <w:p w14:paraId="7A167FFF" w14:textId="77777777" w:rsidR="00CC4304" w:rsidRPr="00CC4304" w:rsidRDefault="00CC4304" w:rsidP="00CC4304">
      <w:pPr>
        <w:rPr>
          <w:rFonts w:ascii="Calibri" w:hAnsi="Calibri" w:cs="Calibri"/>
          <w:color w:val="1A1A1A"/>
          <w:sz w:val="28"/>
          <w:szCs w:val="28"/>
          <w:highlight w:val="yellow"/>
          <w:shd w:val="clear" w:color="auto" w:fill="FFFFFF"/>
        </w:rPr>
      </w:pPr>
    </w:p>
    <w:p w14:paraId="67E3CE20" w14:textId="77777777" w:rsidR="00CC4304" w:rsidRPr="00CC4304" w:rsidRDefault="00CC4304" w:rsidP="00CC4304">
      <w:pPr>
        <w:rPr>
          <w:rFonts w:ascii="Calibri" w:hAnsi="Calibri" w:cs="Calibri"/>
          <w:color w:val="1A1A1A"/>
          <w:sz w:val="28"/>
          <w:szCs w:val="28"/>
          <w:highlight w:val="yellow"/>
          <w:shd w:val="clear" w:color="auto" w:fill="FFFFFF"/>
        </w:rPr>
      </w:pPr>
      <w:r w:rsidRPr="00CC4304">
        <w:rPr>
          <w:rFonts w:ascii="Calibri" w:hAnsi="Calibri" w:cs="Calibri"/>
          <w:b/>
          <w:bCs/>
          <w:color w:val="1A1A1A"/>
          <w:sz w:val="28"/>
          <w:szCs w:val="28"/>
          <w:highlight w:val="yellow"/>
          <w:shd w:val="clear" w:color="auto" w:fill="FFFFFF"/>
        </w:rPr>
        <w:t>Challenges Facing Individuals with I/DD</w:t>
      </w:r>
      <w:r w:rsidRPr="00CC4304">
        <w:rPr>
          <w:rFonts w:ascii="Calibri" w:hAnsi="Calibri" w:cs="Calibri"/>
          <w:color w:val="1A1A1A"/>
          <w:sz w:val="28"/>
          <w:szCs w:val="28"/>
          <w:highlight w:val="yellow"/>
          <w:shd w:val="clear" w:color="auto" w:fill="FFFFFF"/>
        </w:rPr>
        <w:br/>
        <w:t>Of the nearly 7.3 million adults with I/DD in the United States, approximately 4.5 million rely on Medicaid for health coverage. However, Medicaid dental coverage for adults is not mandatory and varies widely between states. Currently, twelve states do not provide basic adult dental benefits, and of those, only seven offer limited waiver programs. In addition, there is a critical shortage of dental providers trained and willing to serve individuals with I/DD, particularly those with complex medical or behavioral needs.</w:t>
      </w:r>
    </w:p>
    <w:p w14:paraId="5080101C" w14:textId="77777777" w:rsidR="00CC4304" w:rsidRPr="00CC4304" w:rsidRDefault="00CC4304" w:rsidP="00CC4304">
      <w:pPr>
        <w:rPr>
          <w:rFonts w:ascii="Calibri" w:hAnsi="Calibri" w:cs="Calibri"/>
          <w:color w:val="1A1A1A"/>
          <w:sz w:val="28"/>
          <w:szCs w:val="28"/>
          <w:highlight w:val="yellow"/>
          <w:shd w:val="clear" w:color="auto" w:fill="FFFFFF"/>
        </w:rPr>
      </w:pPr>
    </w:p>
    <w:p w14:paraId="29678B5A" w14:textId="77777777" w:rsidR="00CC4304" w:rsidRPr="00CC4304" w:rsidRDefault="00CC4304" w:rsidP="00CC4304">
      <w:pPr>
        <w:rPr>
          <w:rFonts w:ascii="Calibri" w:hAnsi="Calibri" w:cs="Calibri"/>
          <w:color w:val="1A1A1A"/>
          <w:sz w:val="28"/>
          <w:szCs w:val="28"/>
          <w:highlight w:val="yellow"/>
          <w:shd w:val="clear" w:color="auto" w:fill="FFFFFF"/>
        </w:rPr>
      </w:pPr>
      <w:r w:rsidRPr="00CC4304">
        <w:rPr>
          <w:rFonts w:ascii="Calibri" w:hAnsi="Calibri" w:cs="Calibri"/>
          <w:color w:val="1A1A1A"/>
          <w:sz w:val="28"/>
          <w:szCs w:val="28"/>
          <w:highlight w:val="yellow"/>
          <w:shd w:val="clear" w:color="auto" w:fill="FFFFFF"/>
        </w:rPr>
        <w:t>Individuals with I/DD are at increased risk for:</w:t>
      </w:r>
    </w:p>
    <w:p w14:paraId="0459BA7D" w14:textId="77777777" w:rsidR="00CC4304" w:rsidRPr="00CC4304" w:rsidRDefault="00CC4304" w:rsidP="00CC4304">
      <w:pPr>
        <w:numPr>
          <w:ilvl w:val="0"/>
          <w:numId w:val="4"/>
        </w:numPr>
        <w:rPr>
          <w:rFonts w:ascii="Calibri" w:hAnsi="Calibri" w:cs="Calibri"/>
          <w:color w:val="1A1A1A"/>
          <w:sz w:val="28"/>
          <w:szCs w:val="28"/>
          <w:highlight w:val="yellow"/>
          <w:shd w:val="clear" w:color="auto" w:fill="FFFFFF"/>
        </w:rPr>
      </w:pPr>
      <w:r w:rsidRPr="00CC4304">
        <w:rPr>
          <w:rFonts w:ascii="Calibri" w:hAnsi="Calibri" w:cs="Calibri"/>
          <w:b/>
          <w:bCs/>
          <w:color w:val="1A1A1A"/>
          <w:sz w:val="28"/>
          <w:szCs w:val="28"/>
          <w:highlight w:val="yellow"/>
          <w:shd w:val="clear" w:color="auto" w:fill="FFFFFF"/>
        </w:rPr>
        <w:t>Oral disease and complications</w:t>
      </w:r>
      <w:r w:rsidRPr="00CC4304">
        <w:rPr>
          <w:rFonts w:ascii="Calibri" w:hAnsi="Calibri" w:cs="Calibri"/>
          <w:color w:val="1A1A1A"/>
          <w:sz w:val="28"/>
          <w:szCs w:val="28"/>
          <w:highlight w:val="yellow"/>
          <w:shd w:val="clear" w:color="auto" w:fill="FFFFFF"/>
        </w:rPr>
        <w:t>, including malocclusion, delayed tooth eruption, enamel hypoplasia, oral trauma, and missing teeth.</w:t>
      </w:r>
    </w:p>
    <w:p w14:paraId="01540922" w14:textId="77777777" w:rsidR="00CC4304" w:rsidRPr="00CC4304" w:rsidRDefault="00CC4304" w:rsidP="00CC4304">
      <w:pPr>
        <w:numPr>
          <w:ilvl w:val="0"/>
          <w:numId w:val="4"/>
        </w:numPr>
        <w:rPr>
          <w:rFonts w:ascii="Calibri" w:hAnsi="Calibri" w:cs="Calibri"/>
          <w:color w:val="1A1A1A"/>
          <w:sz w:val="28"/>
          <w:szCs w:val="28"/>
          <w:highlight w:val="yellow"/>
          <w:shd w:val="clear" w:color="auto" w:fill="FFFFFF"/>
        </w:rPr>
      </w:pPr>
      <w:r w:rsidRPr="00CC4304">
        <w:rPr>
          <w:rFonts w:ascii="Calibri" w:hAnsi="Calibri" w:cs="Calibri"/>
          <w:b/>
          <w:bCs/>
          <w:color w:val="1A1A1A"/>
          <w:sz w:val="28"/>
          <w:szCs w:val="28"/>
          <w:highlight w:val="yellow"/>
          <w:shd w:val="clear" w:color="auto" w:fill="FFFFFF"/>
        </w:rPr>
        <w:t>Tooth decay and periodontal disease</w:t>
      </w:r>
      <w:r w:rsidRPr="00CC4304">
        <w:rPr>
          <w:rFonts w:ascii="Calibri" w:hAnsi="Calibri" w:cs="Calibri"/>
          <w:color w:val="1A1A1A"/>
          <w:sz w:val="28"/>
          <w:szCs w:val="28"/>
          <w:highlight w:val="yellow"/>
          <w:shd w:val="clear" w:color="auto" w:fill="FFFFFF"/>
        </w:rPr>
        <w:t>, due to contributing factors such as frequent use of sugar-containing medications, oral aversions, limited dexterity, reliance on caregivers for hygiene, reduced saliva production, high-carbohydrate diets, or use of liquid/puréed diets.</w:t>
      </w:r>
    </w:p>
    <w:p w14:paraId="0FEF07EA" w14:textId="77777777" w:rsidR="00CC4304" w:rsidRPr="00CC4304" w:rsidRDefault="00CC4304" w:rsidP="00CC4304">
      <w:pPr>
        <w:numPr>
          <w:ilvl w:val="0"/>
          <w:numId w:val="4"/>
        </w:numPr>
        <w:rPr>
          <w:rFonts w:ascii="Calibri" w:hAnsi="Calibri" w:cs="Calibri"/>
          <w:color w:val="1A1A1A"/>
          <w:sz w:val="28"/>
          <w:szCs w:val="28"/>
          <w:highlight w:val="yellow"/>
          <w:shd w:val="clear" w:color="auto" w:fill="FFFFFF"/>
        </w:rPr>
      </w:pPr>
      <w:r w:rsidRPr="00CC4304">
        <w:rPr>
          <w:rFonts w:ascii="Calibri" w:hAnsi="Calibri" w:cs="Calibri"/>
          <w:b/>
          <w:bCs/>
          <w:color w:val="1A1A1A"/>
          <w:sz w:val="28"/>
          <w:szCs w:val="28"/>
          <w:highlight w:val="yellow"/>
          <w:shd w:val="clear" w:color="auto" w:fill="FFFFFF"/>
        </w:rPr>
        <w:t>Damaging oral behaviors</w:t>
      </w:r>
      <w:r w:rsidRPr="00CC4304">
        <w:rPr>
          <w:rFonts w:ascii="Calibri" w:hAnsi="Calibri" w:cs="Calibri"/>
          <w:color w:val="1A1A1A"/>
          <w:sz w:val="28"/>
          <w:szCs w:val="28"/>
          <w:highlight w:val="yellow"/>
          <w:shd w:val="clear" w:color="auto" w:fill="FFFFFF"/>
        </w:rPr>
        <w:t>, such as bruxism, mouth breathing, tongue thrusting, self-injurious behaviors (e.g., lip biting, gingival picking), and pica (eating non-food items).</w:t>
      </w:r>
    </w:p>
    <w:p w14:paraId="400B2989" w14:textId="77777777" w:rsidR="003479D0" w:rsidRPr="004A7CD0" w:rsidRDefault="003479D0" w:rsidP="00A103E3">
      <w:pPr>
        <w:rPr>
          <w:rFonts w:ascii="Calibri" w:hAnsi="Calibri" w:cs="Calibri"/>
          <w:sz w:val="28"/>
          <w:szCs w:val="28"/>
        </w:rPr>
      </w:pPr>
    </w:p>
    <w:p w14:paraId="07454CAE" w14:textId="103C9981" w:rsidR="003479D0" w:rsidRPr="004A7CD0" w:rsidRDefault="00980ACE" w:rsidP="00A103E3">
      <w:pPr>
        <w:rPr>
          <w:rFonts w:ascii="Calibri" w:hAnsi="Calibri" w:cs="Calibri"/>
          <w:bCs/>
          <w:sz w:val="28"/>
          <w:szCs w:val="28"/>
        </w:rPr>
      </w:pPr>
      <w:r w:rsidRPr="004A7CD0">
        <w:rPr>
          <w:rFonts w:ascii="Calibri" w:hAnsi="Calibri" w:cs="Calibri"/>
          <w:bCs/>
          <w:sz w:val="28"/>
          <w:szCs w:val="28"/>
        </w:rPr>
        <w:t xml:space="preserve">The </w:t>
      </w:r>
      <w:r w:rsidR="003479D0" w:rsidRPr="004A7CD0">
        <w:rPr>
          <w:rFonts w:ascii="Calibri" w:hAnsi="Calibri" w:cs="Calibri"/>
          <w:bCs/>
          <w:sz w:val="28"/>
          <w:szCs w:val="28"/>
        </w:rPr>
        <w:t xml:space="preserve">NGCDD believes that comprehensive health care </w:t>
      </w:r>
      <w:r w:rsidR="00E046ED" w:rsidRPr="004A7CD0">
        <w:rPr>
          <w:rFonts w:ascii="Calibri" w:hAnsi="Calibri" w:cs="Calibri"/>
          <w:bCs/>
          <w:sz w:val="28"/>
          <w:szCs w:val="28"/>
        </w:rPr>
        <w:t>must provide affordable dental</w:t>
      </w:r>
      <w:r w:rsidR="008D530D" w:rsidRPr="004A7CD0">
        <w:rPr>
          <w:rFonts w:ascii="Calibri" w:hAnsi="Calibri" w:cs="Calibri"/>
          <w:bCs/>
          <w:sz w:val="28"/>
          <w:szCs w:val="28"/>
        </w:rPr>
        <w:t xml:space="preserve"> </w:t>
      </w:r>
      <w:r w:rsidR="003479D0" w:rsidRPr="004A7CD0">
        <w:rPr>
          <w:rFonts w:ascii="Calibri" w:hAnsi="Calibri" w:cs="Calibri"/>
          <w:bCs/>
          <w:sz w:val="28"/>
          <w:szCs w:val="28"/>
        </w:rPr>
        <w:t>coverage</w:t>
      </w:r>
      <w:r w:rsidR="008D530D" w:rsidRPr="004A7CD0">
        <w:rPr>
          <w:rFonts w:ascii="Calibri" w:hAnsi="Calibri" w:cs="Calibri"/>
          <w:bCs/>
          <w:sz w:val="28"/>
          <w:szCs w:val="28"/>
        </w:rPr>
        <w:t>,</w:t>
      </w:r>
      <w:r w:rsidR="003479D0" w:rsidRPr="004A7CD0">
        <w:rPr>
          <w:rFonts w:ascii="Calibri" w:hAnsi="Calibri" w:cs="Calibri"/>
          <w:bCs/>
          <w:sz w:val="28"/>
          <w:szCs w:val="28"/>
        </w:rPr>
        <w:t xml:space="preserve"> improved quality, and better cost control, while addressing the significant </w:t>
      </w:r>
      <w:r w:rsidR="008D530D" w:rsidRPr="004A7CD0">
        <w:rPr>
          <w:rFonts w:ascii="Calibri" w:hAnsi="Calibri" w:cs="Calibri"/>
          <w:bCs/>
          <w:sz w:val="28"/>
          <w:szCs w:val="28"/>
        </w:rPr>
        <w:t>oral</w:t>
      </w:r>
      <w:r w:rsidR="003479D0" w:rsidRPr="004A7CD0">
        <w:rPr>
          <w:rFonts w:ascii="Calibri" w:hAnsi="Calibri" w:cs="Calibri"/>
          <w:bCs/>
          <w:sz w:val="28"/>
          <w:szCs w:val="28"/>
        </w:rPr>
        <w:t xml:space="preserve"> health care disparities faced by individuals with developmental disabilities. In addition to improving access to quality </w:t>
      </w:r>
      <w:r w:rsidR="008D530D" w:rsidRPr="004A7CD0">
        <w:rPr>
          <w:rFonts w:ascii="Calibri" w:hAnsi="Calibri" w:cs="Calibri"/>
          <w:bCs/>
          <w:sz w:val="28"/>
          <w:szCs w:val="28"/>
        </w:rPr>
        <w:t>dental</w:t>
      </w:r>
      <w:r w:rsidR="003479D0" w:rsidRPr="004A7CD0">
        <w:rPr>
          <w:rFonts w:ascii="Calibri" w:hAnsi="Calibri" w:cs="Calibri"/>
          <w:bCs/>
          <w:sz w:val="28"/>
          <w:szCs w:val="28"/>
        </w:rPr>
        <w:t xml:space="preserve"> care for persons with </w:t>
      </w:r>
      <w:r w:rsidR="00BB4E13" w:rsidRPr="004A7CD0">
        <w:rPr>
          <w:rFonts w:ascii="Calibri" w:hAnsi="Calibri" w:cs="Calibri"/>
          <w:bCs/>
          <w:sz w:val="28"/>
          <w:szCs w:val="28"/>
        </w:rPr>
        <w:t>I/DD</w:t>
      </w:r>
      <w:r w:rsidR="003479D0" w:rsidRPr="004A7CD0">
        <w:rPr>
          <w:rFonts w:ascii="Calibri" w:hAnsi="Calibri" w:cs="Calibri"/>
          <w:bCs/>
          <w:sz w:val="28"/>
          <w:szCs w:val="28"/>
        </w:rPr>
        <w:t xml:space="preserve">, the health care </w:t>
      </w:r>
      <w:r w:rsidR="00237A90" w:rsidRPr="004A7CD0">
        <w:rPr>
          <w:rFonts w:ascii="Calibri" w:hAnsi="Calibri" w:cs="Calibri"/>
          <w:bCs/>
          <w:sz w:val="28"/>
          <w:szCs w:val="28"/>
        </w:rPr>
        <w:t>system must</w:t>
      </w:r>
      <w:r w:rsidR="003479D0" w:rsidRPr="004A7CD0">
        <w:rPr>
          <w:rFonts w:ascii="Calibri" w:hAnsi="Calibri" w:cs="Calibri"/>
          <w:bCs/>
          <w:sz w:val="28"/>
          <w:szCs w:val="28"/>
        </w:rPr>
        <w:t xml:space="preserve"> improve the way our State provides </w:t>
      </w:r>
      <w:r w:rsidR="008D530D" w:rsidRPr="004A7CD0">
        <w:rPr>
          <w:rFonts w:ascii="Calibri" w:hAnsi="Calibri" w:cs="Calibri"/>
          <w:bCs/>
          <w:sz w:val="28"/>
          <w:szCs w:val="28"/>
        </w:rPr>
        <w:t>access to oral health care services,</w:t>
      </w:r>
      <w:r w:rsidR="00BB4E13" w:rsidRPr="004A7CD0">
        <w:rPr>
          <w:rFonts w:ascii="Calibri" w:hAnsi="Calibri" w:cs="Calibri"/>
          <w:bCs/>
          <w:sz w:val="28"/>
          <w:szCs w:val="28"/>
        </w:rPr>
        <w:t xml:space="preserve"> </w:t>
      </w:r>
      <w:r w:rsidR="003479D0" w:rsidRPr="004A7CD0">
        <w:rPr>
          <w:rFonts w:ascii="Calibri" w:hAnsi="Calibri" w:cs="Calibri"/>
          <w:bCs/>
          <w:sz w:val="28"/>
          <w:szCs w:val="28"/>
        </w:rPr>
        <w:t xml:space="preserve">such as </w:t>
      </w:r>
      <w:r w:rsidR="00BB4E13" w:rsidRPr="004A7CD0">
        <w:rPr>
          <w:rFonts w:ascii="Calibri" w:hAnsi="Calibri" w:cs="Calibri"/>
          <w:bCs/>
          <w:sz w:val="28"/>
          <w:szCs w:val="28"/>
        </w:rPr>
        <w:t xml:space="preserve">referrals to affordable and qualified medical professionals, </w:t>
      </w:r>
      <w:r w:rsidR="00651E1E" w:rsidRPr="004A7CD0">
        <w:rPr>
          <w:rFonts w:ascii="Calibri" w:hAnsi="Calibri" w:cs="Calibri"/>
          <w:bCs/>
          <w:sz w:val="28"/>
          <w:szCs w:val="28"/>
        </w:rPr>
        <w:t xml:space="preserve">education on preventative </w:t>
      </w:r>
      <w:r w:rsidR="008D530D" w:rsidRPr="004A7CD0">
        <w:rPr>
          <w:rFonts w:ascii="Calibri" w:hAnsi="Calibri" w:cs="Calibri"/>
          <w:bCs/>
          <w:sz w:val="28"/>
          <w:szCs w:val="28"/>
        </w:rPr>
        <w:t xml:space="preserve">oral </w:t>
      </w:r>
      <w:r w:rsidR="00651E1E" w:rsidRPr="004A7CD0">
        <w:rPr>
          <w:rFonts w:ascii="Calibri" w:hAnsi="Calibri" w:cs="Calibri"/>
          <w:bCs/>
          <w:sz w:val="28"/>
          <w:szCs w:val="28"/>
        </w:rPr>
        <w:t>health</w:t>
      </w:r>
      <w:r w:rsidR="008D530D" w:rsidRPr="004A7CD0">
        <w:rPr>
          <w:rFonts w:ascii="Calibri" w:hAnsi="Calibri" w:cs="Calibri"/>
          <w:bCs/>
          <w:sz w:val="28"/>
          <w:szCs w:val="28"/>
        </w:rPr>
        <w:t xml:space="preserve">care </w:t>
      </w:r>
      <w:r w:rsidR="00651E1E" w:rsidRPr="004A7CD0">
        <w:rPr>
          <w:rFonts w:ascii="Calibri" w:hAnsi="Calibri" w:cs="Calibri"/>
          <w:bCs/>
          <w:sz w:val="28"/>
          <w:szCs w:val="28"/>
        </w:rPr>
        <w:t>measures</w:t>
      </w:r>
      <w:r w:rsidR="008D530D" w:rsidRPr="004A7CD0">
        <w:rPr>
          <w:rFonts w:ascii="Calibri" w:hAnsi="Calibri" w:cs="Calibri"/>
          <w:bCs/>
          <w:sz w:val="28"/>
          <w:szCs w:val="28"/>
        </w:rPr>
        <w:t>, and education to providers on providing services to people with I/DD.</w:t>
      </w:r>
    </w:p>
    <w:p w14:paraId="089B75DF" w14:textId="77777777" w:rsidR="003479D0" w:rsidRPr="004A7CD0" w:rsidRDefault="003479D0" w:rsidP="003479D0">
      <w:pPr>
        <w:rPr>
          <w:rFonts w:ascii="Calibri" w:hAnsi="Calibri" w:cs="Calibri"/>
          <w:sz w:val="28"/>
          <w:szCs w:val="28"/>
        </w:rPr>
      </w:pPr>
    </w:p>
    <w:p w14:paraId="4F05AA80" w14:textId="77777777" w:rsidR="003479D0" w:rsidRPr="004A7CD0" w:rsidRDefault="003479D0" w:rsidP="001C5678">
      <w:pPr>
        <w:pStyle w:val="Heading3"/>
        <w:rPr>
          <w:rFonts w:ascii="Calibri" w:hAnsi="Calibri" w:cs="Calibri"/>
          <w:color w:val="000000" w:themeColor="text1"/>
          <w:sz w:val="28"/>
          <w:szCs w:val="28"/>
          <w:u w:val="single"/>
        </w:rPr>
      </w:pPr>
      <w:r w:rsidRPr="004A7CD0">
        <w:rPr>
          <w:rFonts w:ascii="Calibri" w:hAnsi="Calibri" w:cs="Calibri"/>
          <w:color w:val="000000" w:themeColor="text1"/>
          <w:sz w:val="28"/>
          <w:szCs w:val="28"/>
          <w:u w:val="single"/>
        </w:rPr>
        <w:lastRenderedPageBreak/>
        <w:t>Policy Recommendations:</w:t>
      </w:r>
    </w:p>
    <w:p w14:paraId="276ADD13" w14:textId="62195AC0" w:rsidR="003479D0" w:rsidRPr="004A7CD0" w:rsidRDefault="003479D0" w:rsidP="001C5678">
      <w:pPr>
        <w:spacing w:before="120" w:after="120"/>
        <w:rPr>
          <w:rFonts w:ascii="Calibri" w:hAnsi="Calibri" w:cs="Calibri"/>
          <w:sz w:val="28"/>
          <w:szCs w:val="28"/>
        </w:rPr>
      </w:pPr>
      <w:r w:rsidRPr="004A7CD0">
        <w:rPr>
          <w:rFonts w:ascii="Calibri" w:hAnsi="Calibri" w:cs="Calibri"/>
          <w:sz w:val="28"/>
          <w:szCs w:val="28"/>
        </w:rPr>
        <w:t xml:space="preserve">Comprehensive </w:t>
      </w:r>
      <w:r w:rsidR="008D530D" w:rsidRPr="004A7CD0">
        <w:rPr>
          <w:rFonts w:ascii="Calibri" w:hAnsi="Calibri" w:cs="Calibri"/>
          <w:sz w:val="28"/>
          <w:szCs w:val="28"/>
        </w:rPr>
        <w:t xml:space="preserve">dental </w:t>
      </w:r>
      <w:r w:rsidRPr="004A7CD0">
        <w:rPr>
          <w:rFonts w:ascii="Calibri" w:hAnsi="Calibri" w:cs="Calibri"/>
          <w:sz w:val="28"/>
          <w:szCs w:val="28"/>
        </w:rPr>
        <w:t>care must adequately address the following:</w:t>
      </w:r>
    </w:p>
    <w:p w14:paraId="49AFDCF2" w14:textId="01CBB8A5" w:rsidR="003479D0" w:rsidRPr="004A7CD0" w:rsidRDefault="003479D0" w:rsidP="00CC4304">
      <w:pPr>
        <w:widowControl/>
        <w:numPr>
          <w:ilvl w:val="0"/>
          <w:numId w:val="1"/>
        </w:numPr>
        <w:tabs>
          <w:tab w:val="clear" w:pos="720"/>
          <w:tab w:val="num" w:pos="360"/>
        </w:tabs>
        <w:autoSpaceDE/>
        <w:autoSpaceDN/>
        <w:adjustRightInd/>
        <w:spacing w:after="80"/>
        <w:ind w:left="360"/>
        <w:jc w:val="both"/>
        <w:rPr>
          <w:rFonts w:ascii="Calibri" w:hAnsi="Calibri" w:cs="Calibri"/>
          <w:sz w:val="28"/>
          <w:szCs w:val="28"/>
        </w:rPr>
      </w:pPr>
      <w:r w:rsidRPr="004A7CD0">
        <w:rPr>
          <w:rFonts w:ascii="Calibri" w:hAnsi="Calibri" w:cs="Calibri"/>
          <w:sz w:val="28"/>
          <w:szCs w:val="28"/>
        </w:rPr>
        <w:t xml:space="preserve">Access to affordable </w:t>
      </w:r>
      <w:r w:rsidR="00CF0DFD" w:rsidRPr="004A7CD0">
        <w:rPr>
          <w:rFonts w:ascii="Calibri" w:hAnsi="Calibri" w:cs="Calibri"/>
          <w:sz w:val="28"/>
          <w:szCs w:val="28"/>
        </w:rPr>
        <w:t xml:space="preserve">oral care </w:t>
      </w:r>
      <w:r w:rsidRPr="004A7CD0">
        <w:rPr>
          <w:rFonts w:ascii="Calibri" w:hAnsi="Calibri" w:cs="Calibri"/>
          <w:sz w:val="28"/>
          <w:szCs w:val="28"/>
        </w:rPr>
        <w:t xml:space="preserve">coverage for Nevadans with developmental disabilities, removing any bias based on pre-existing conditions, congenital impairments, or whether the intervention is </w:t>
      </w:r>
      <w:r w:rsidR="008D530D" w:rsidRPr="004A7CD0">
        <w:rPr>
          <w:rFonts w:ascii="Calibri" w:hAnsi="Calibri" w:cs="Calibri"/>
          <w:sz w:val="28"/>
          <w:szCs w:val="28"/>
        </w:rPr>
        <w:t xml:space="preserve">preventative </w:t>
      </w:r>
      <w:r w:rsidRPr="004A7CD0">
        <w:rPr>
          <w:rFonts w:ascii="Calibri" w:hAnsi="Calibri" w:cs="Calibri"/>
          <w:sz w:val="28"/>
          <w:szCs w:val="28"/>
        </w:rPr>
        <w:t>in nature.</w:t>
      </w:r>
    </w:p>
    <w:p w14:paraId="7ABC0ED8" w14:textId="4AB13C4C" w:rsidR="003479D0" w:rsidRPr="004A7CD0" w:rsidRDefault="003479D0" w:rsidP="00CC4304">
      <w:pPr>
        <w:widowControl/>
        <w:numPr>
          <w:ilvl w:val="0"/>
          <w:numId w:val="1"/>
        </w:numPr>
        <w:tabs>
          <w:tab w:val="clear" w:pos="720"/>
          <w:tab w:val="num" w:pos="360"/>
        </w:tabs>
        <w:autoSpaceDE/>
        <w:autoSpaceDN/>
        <w:adjustRightInd/>
        <w:spacing w:after="80"/>
        <w:ind w:left="360"/>
        <w:jc w:val="both"/>
        <w:rPr>
          <w:rFonts w:ascii="Calibri" w:hAnsi="Calibri" w:cs="Calibri"/>
          <w:sz w:val="28"/>
          <w:szCs w:val="28"/>
        </w:rPr>
      </w:pPr>
      <w:r w:rsidRPr="004A7CD0">
        <w:rPr>
          <w:rFonts w:ascii="Calibri" w:hAnsi="Calibri" w:cs="Calibri"/>
          <w:sz w:val="28"/>
          <w:szCs w:val="28"/>
        </w:rPr>
        <w:t xml:space="preserve">Assure greater access to quality care by </w:t>
      </w:r>
      <w:r w:rsidR="008D530D" w:rsidRPr="004A7CD0">
        <w:rPr>
          <w:rFonts w:ascii="Calibri" w:hAnsi="Calibri" w:cs="Calibri"/>
          <w:sz w:val="28"/>
          <w:szCs w:val="28"/>
        </w:rPr>
        <w:t>dental care</w:t>
      </w:r>
      <w:r w:rsidRPr="004A7CD0">
        <w:rPr>
          <w:rFonts w:ascii="Calibri" w:hAnsi="Calibri" w:cs="Calibri"/>
          <w:sz w:val="28"/>
          <w:szCs w:val="28"/>
        </w:rPr>
        <w:t xml:space="preserve"> providers trained to meet the medical needs of individuals with developmental disabilities.</w:t>
      </w:r>
      <w:r w:rsidR="00CC4304">
        <w:rPr>
          <w:rFonts w:ascii="Calibri" w:hAnsi="Calibri" w:cs="Calibri"/>
          <w:sz w:val="28"/>
          <w:szCs w:val="28"/>
        </w:rPr>
        <w:t xml:space="preserve"> </w:t>
      </w:r>
      <w:r w:rsidR="00CC4304" w:rsidRPr="00CC4304">
        <w:rPr>
          <w:rFonts w:ascii="Calibri" w:hAnsi="Calibri" w:cs="Calibri"/>
          <w:sz w:val="28"/>
          <w:szCs w:val="28"/>
          <w:highlight w:val="yellow"/>
        </w:rPr>
        <w:t>This shall include increased training and continuing education opportunities for dental providers focused on serving individuals with I/DD, including behavioral supports, sensory accommodations, trauma-informed care, and communication strategies.</w:t>
      </w:r>
    </w:p>
    <w:p w14:paraId="1B9279FE" w14:textId="7A60FAC4" w:rsidR="003479D0" w:rsidRPr="004A7CD0" w:rsidRDefault="003479D0" w:rsidP="00CC4304">
      <w:pPr>
        <w:widowControl/>
        <w:numPr>
          <w:ilvl w:val="0"/>
          <w:numId w:val="1"/>
        </w:numPr>
        <w:tabs>
          <w:tab w:val="clear" w:pos="720"/>
          <w:tab w:val="num" w:pos="360"/>
        </w:tabs>
        <w:autoSpaceDE/>
        <w:autoSpaceDN/>
        <w:adjustRightInd/>
        <w:spacing w:after="80"/>
        <w:ind w:left="360"/>
        <w:jc w:val="both"/>
        <w:rPr>
          <w:rFonts w:ascii="Calibri" w:hAnsi="Calibri" w:cs="Calibri"/>
          <w:sz w:val="28"/>
          <w:szCs w:val="28"/>
        </w:rPr>
      </w:pPr>
      <w:r w:rsidRPr="004A7CD0">
        <w:rPr>
          <w:rFonts w:ascii="Calibri" w:hAnsi="Calibri" w:cs="Calibri"/>
          <w:sz w:val="28"/>
          <w:szCs w:val="28"/>
        </w:rPr>
        <w:t>Provide appropriate, accessible</w:t>
      </w:r>
      <w:r w:rsidR="008D530D" w:rsidRPr="004A7CD0">
        <w:rPr>
          <w:rFonts w:ascii="Calibri" w:hAnsi="Calibri" w:cs="Calibri"/>
          <w:sz w:val="28"/>
          <w:szCs w:val="28"/>
        </w:rPr>
        <w:t>, and convenient</w:t>
      </w:r>
      <w:r w:rsidRPr="004A7CD0">
        <w:rPr>
          <w:rFonts w:ascii="Calibri" w:hAnsi="Calibri" w:cs="Calibri"/>
          <w:sz w:val="28"/>
          <w:szCs w:val="28"/>
        </w:rPr>
        <w:t xml:space="preserve"> </w:t>
      </w:r>
      <w:r w:rsidR="008D530D" w:rsidRPr="004A7CD0">
        <w:rPr>
          <w:rFonts w:ascii="Calibri" w:hAnsi="Calibri" w:cs="Calibri"/>
          <w:sz w:val="28"/>
          <w:szCs w:val="28"/>
        </w:rPr>
        <w:t xml:space="preserve">dental care </w:t>
      </w:r>
      <w:r w:rsidRPr="004A7CD0">
        <w:rPr>
          <w:rFonts w:ascii="Calibri" w:hAnsi="Calibri" w:cs="Calibri"/>
          <w:sz w:val="28"/>
          <w:szCs w:val="28"/>
        </w:rPr>
        <w:t>for individuals with developmental disabilities.</w:t>
      </w:r>
      <w:r w:rsidR="00CC4304" w:rsidRPr="00CC4304">
        <w:t xml:space="preserve"> </w:t>
      </w:r>
      <w:r w:rsidR="00CC4304" w:rsidRPr="00CC4304">
        <w:rPr>
          <w:rFonts w:ascii="Calibri" w:hAnsi="Calibri" w:cs="Calibri"/>
          <w:sz w:val="28"/>
          <w:szCs w:val="28"/>
          <w:highlight w:val="yellow"/>
        </w:rPr>
        <w:t>Dental care settings shall offer accommodations based on individual needs, and care shall be delivered in environments that reduce anxiety and sensory overload, including options for community-based and mobile care.</w:t>
      </w:r>
    </w:p>
    <w:p w14:paraId="5D5ED31F" w14:textId="4E37E52D" w:rsidR="003479D0" w:rsidRPr="004A7CD0" w:rsidRDefault="003479D0" w:rsidP="00CC4304">
      <w:pPr>
        <w:widowControl/>
        <w:numPr>
          <w:ilvl w:val="0"/>
          <w:numId w:val="1"/>
        </w:numPr>
        <w:tabs>
          <w:tab w:val="clear" w:pos="720"/>
          <w:tab w:val="num" w:pos="360"/>
        </w:tabs>
        <w:autoSpaceDE/>
        <w:autoSpaceDN/>
        <w:adjustRightInd/>
        <w:spacing w:after="80"/>
        <w:ind w:left="360"/>
        <w:jc w:val="both"/>
        <w:rPr>
          <w:rFonts w:ascii="Calibri" w:hAnsi="Calibri" w:cs="Calibri"/>
          <w:sz w:val="28"/>
          <w:szCs w:val="28"/>
        </w:rPr>
      </w:pPr>
      <w:r w:rsidRPr="004A7CD0">
        <w:rPr>
          <w:rFonts w:ascii="Calibri" w:hAnsi="Calibri" w:cs="Calibri"/>
          <w:sz w:val="28"/>
          <w:szCs w:val="28"/>
        </w:rPr>
        <w:t xml:space="preserve">Ensure all policies and programs result in the creation of equal treatment in </w:t>
      </w:r>
      <w:r w:rsidR="008D530D" w:rsidRPr="004A7CD0">
        <w:rPr>
          <w:rFonts w:ascii="Calibri" w:hAnsi="Calibri" w:cs="Calibri"/>
          <w:sz w:val="28"/>
          <w:szCs w:val="28"/>
        </w:rPr>
        <w:t>dental care</w:t>
      </w:r>
      <w:r w:rsidRPr="004A7CD0">
        <w:rPr>
          <w:rFonts w:ascii="Calibri" w:hAnsi="Calibri" w:cs="Calibri"/>
          <w:sz w:val="28"/>
          <w:szCs w:val="28"/>
        </w:rPr>
        <w:t xml:space="preserve"> services to all individuals.</w:t>
      </w:r>
      <w:r w:rsidR="00CC4304" w:rsidRPr="00CC4304">
        <w:t xml:space="preserve"> </w:t>
      </w:r>
      <w:r w:rsidR="00CC4304" w:rsidRPr="00CC4304">
        <w:rPr>
          <w:rFonts w:ascii="Calibri" w:hAnsi="Calibri" w:cs="Calibri"/>
          <w:sz w:val="28"/>
          <w:szCs w:val="28"/>
          <w:highlight w:val="yellow"/>
        </w:rPr>
        <w:t>This includes providing accessible information about dental coverage, clearly explaining benefits and out-of-pocket costs before any procedure, and offering supplemental insurance options when services are not fully covered.</w:t>
      </w:r>
    </w:p>
    <w:p w14:paraId="19D641E7" w14:textId="610C74B0" w:rsidR="003479D0" w:rsidRPr="004A7CD0" w:rsidRDefault="00EC7C38" w:rsidP="00CC4304">
      <w:pPr>
        <w:widowControl/>
        <w:numPr>
          <w:ilvl w:val="0"/>
          <w:numId w:val="1"/>
        </w:numPr>
        <w:tabs>
          <w:tab w:val="clear" w:pos="720"/>
          <w:tab w:val="num" w:pos="360"/>
        </w:tabs>
        <w:autoSpaceDE/>
        <w:autoSpaceDN/>
        <w:adjustRightInd/>
        <w:spacing w:after="80"/>
        <w:ind w:left="360"/>
        <w:jc w:val="both"/>
        <w:rPr>
          <w:rFonts w:ascii="Calibri" w:hAnsi="Calibri" w:cs="Calibri"/>
          <w:sz w:val="28"/>
          <w:szCs w:val="28"/>
        </w:rPr>
      </w:pPr>
      <w:r w:rsidRPr="004A7CD0">
        <w:rPr>
          <w:rFonts w:ascii="Calibri" w:hAnsi="Calibri" w:cs="Calibri"/>
          <w:sz w:val="28"/>
          <w:szCs w:val="28"/>
        </w:rPr>
        <w:t>Beginning in youth, e</w:t>
      </w:r>
      <w:r w:rsidR="003479D0" w:rsidRPr="004A7CD0">
        <w:rPr>
          <w:rFonts w:ascii="Calibri" w:hAnsi="Calibri" w:cs="Calibri"/>
          <w:sz w:val="28"/>
          <w:szCs w:val="28"/>
        </w:rPr>
        <w:t xml:space="preserve">ncourage inclusion of individuals with </w:t>
      </w:r>
      <w:r w:rsidR="00FA1610" w:rsidRPr="004A7CD0">
        <w:rPr>
          <w:rFonts w:ascii="Calibri" w:hAnsi="Calibri" w:cs="Calibri"/>
          <w:sz w:val="28"/>
          <w:szCs w:val="28"/>
        </w:rPr>
        <w:t>I/DD</w:t>
      </w:r>
      <w:r w:rsidR="003479D0" w:rsidRPr="004A7CD0">
        <w:rPr>
          <w:rFonts w:ascii="Calibri" w:hAnsi="Calibri" w:cs="Calibri"/>
          <w:sz w:val="28"/>
          <w:szCs w:val="28"/>
        </w:rPr>
        <w:t xml:space="preserve"> in </w:t>
      </w:r>
      <w:r w:rsidR="00B55DCC" w:rsidRPr="004A7CD0">
        <w:rPr>
          <w:rFonts w:ascii="Calibri" w:hAnsi="Calibri" w:cs="Calibri"/>
          <w:sz w:val="28"/>
          <w:szCs w:val="28"/>
        </w:rPr>
        <w:t xml:space="preserve">education, </w:t>
      </w:r>
      <w:r w:rsidR="003479D0" w:rsidRPr="004A7CD0">
        <w:rPr>
          <w:rFonts w:ascii="Calibri" w:hAnsi="Calibri" w:cs="Calibri"/>
          <w:sz w:val="28"/>
          <w:szCs w:val="28"/>
        </w:rPr>
        <w:t>prevention</w:t>
      </w:r>
      <w:r w:rsidR="00381CFE" w:rsidRPr="004A7CD0">
        <w:rPr>
          <w:rFonts w:ascii="Calibri" w:hAnsi="Calibri" w:cs="Calibri"/>
          <w:sz w:val="28"/>
          <w:szCs w:val="28"/>
        </w:rPr>
        <w:t>,</w:t>
      </w:r>
      <w:r w:rsidR="003479D0" w:rsidRPr="004A7CD0">
        <w:rPr>
          <w:rFonts w:ascii="Calibri" w:hAnsi="Calibri" w:cs="Calibri"/>
          <w:sz w:val="28"/>
          <w:szCs w:val="28"/>
        </w:rPr>
        <w:t xml:space="preserve"> and wellness programs</w:t>
      </w:r>
      <w:r w:rsidR="00ED64C0" w:rsidRPr="004A7CD0">
        <w:rPr>
          <w:rFonts w:ascii="Calibri" w:hAnsi="Calibri" w:cs="Calibri"/>
          <w:sz w:val="28"/>
          <w:szCs w:val="28"/>
        </w:rPr>
        <w:t xml:space="preserve"> for </w:t>
      </w:r>
      <w:r w:rsidR="008D530D" w:rsidRPr="004A7CD0">
        <w:rPr>
          <w:rFonts w:ascii="Calibri" w:hAnsi="Calibri" w:cs="Calibri"/>
          <w:sz w:val="28"/>
          <w:szCs w:val="28"/>
        </w:rPr>
        <w:t xml:space="preserve">dental care. </w:t>
      </w:r>
      <w:r w:rsidR="00CC4304" w:rsidRPr="00CC4304">
        <w:rPr>
          <w:rFonts w:ascii="Calibri" w:hAnsi="Calibri" w:cs="Calibri"/>
          <w:sz w:val="28"/>
          <w:szCs w:val="28"/>
          <w:highlight w:val="yellow"/>
        </w:rPr>
        <w:t>Oral health education shall be integrated into school and community programs and delivered in accessible formats appropriate to the developmental level of the individual.</w:t>
      </w:r>
    </w:p>
    <w:p w14:paraId="4BAAF523" w14:textId="6C56A272" w:rsidR="001C5678" w:rsidRPr="004A7CD0" w:rsidRDefault="003479D0" w:rsidP="00CC4304">
      <w:pPr>
        <w:widowControl/>
        <w:numPr>
          <w:ilvl w:val="0"/>
          <w:numId w:val="1"/>
        </w:numPr>
        <w:tabs>
          <w:tab w:val="clear" w:pos="720"/>
          <w:tab w:val="num" w:pos="360"/>
        </w:tabs>
        <w:autoSpaceDE/>
        <w:autoSpaceDN/>
        <w:adjustRightInd/>
        <w:spacing w:after="80"/>
        <w:ind w:left="360"/>
        <w:jc w:val="both"/>
        <w:rPr>
          <w:rFonts w:ascii="Calibri" w:hAnsi="Calibri" w:cs="Calibri"/>
          <w:sz w:val="28"/>
          <w:szCs w:val="28"/>
        </w:rPr>
      </w:pPr>
      <w:r w:rsidRPr="004A7CD0">
        <w:rPr>
          <w:rFonts w:ascii="Calibri" w:hAnsi="Calibri" w:cs="Calibri"/>
          <w:sz w:val="28"/>
          <w:szCs w:val="28"/>
        </w:rPr>
        <w:t xml:space="preserve">Develop and strengthen the “medical home” model to meet the </w:t>
      </w:r>
      <w:r w:rsidR="00C51FE0" w:rsidRPr="004A7CD0">
        <w:rPr>
          <w:rFonts w:ascii="Calibri" w:hAnsi="Calibri" w:cs="Calibri"/>
          <w:sz w:val="28"/>
          <w:szCs w:val="28"/>
        </w:rPr>
        <w:t xml:space="preserve">dental </w:t>
      </w:r>
      <w:r w:rsidRPr="004A7CD0">
        <w:rPr>
          <w:rFonts w:ascii="Calibri" w:hAnsi="Calibri" w:cs="Calibri"/>
          <w:sz w:val="28"/>
          <w:szCs w:val="28"/>
        </w:rPr>
        <w:t xml:space="preserve">care needs of individuals with </w:t>
      </w:r>
      <w:r w:rsidR="00651E1E" w:rsidRPr="004A7CD0">
        <w:rPr>
          <w:rFonts w:ascii="Calibri" w:hAnsi="Calibri" w:cs="Calibri"/>
          <w:sz w:val="28"/>
          <w:szCs w:val="28"/>
        </w:rPr>
        <w:t>I/DD</w:t>
      </w:r>
      <w:r w:rsidR="001C5678" w:rsidRPr="004A7CD0">
        <w:rPr>
          <w:rFonts w:ascii="Calibri" w:hAnsi="Calibri" w:cs="Calibri"/>
          <w:sz w:val="28"/>
          <w:szCs w:val="28"/>
        </w:rPr>
        <w:t>.</w:t>
      </w:r>
      <w:r w:rsidR="00CC4304">
        <w:rPr>
          <w:rFonts w:ascii="Calibri" w:hAnsi="Calibri" w:cs="Calibri"/>
          <w:sz w:val="28"/>
          <w:szCs w:val="28"/>
        </w:rPr>
        <w:t xml:space="preserve"> </w:t>
      </w:r>
      <w:r w:rsidR="00CC4304" w:rsidRPr="00CC4304">
        <w:rPr>
          <w:rFonts w:ascii="Calibri" w:hAnsi="Calibri" w:cs="Calibri"/>
          <w:sz w:val="28"/>
          <w:szCs w:val="28"/>
          <w:highlight w:val="yellow"/>
        </w:rPr>
        <w:t>The “medical home” model is a person-centered, coordinated approach to healthcare in which a team of providers works together to meet the individual's physical, mental, and oral health needs. This model should ensure access to dental professionals as part of a comprehensive care plan. Information about the medical home model should be made available to individuals with I/DD and their support networks.</w:t>
      </w:r>
    </w:p>
    <w:p w14:paraId="788B1EB9" w14:textId="5DF53AAC" w:rsidR="00B55DCC" w:rsidRDefault="009A6AAC" w:rsidP="00CC4304">
      <w:pPr>
        <w:widowControl/>
        <w:numPr>
          <w:ilvl w:val="0"/>
          <w:numId w:val="1"/>
        </w:numPr>
        <w:tabs>
          <w:tab w:val="clear" w:pos="720"/>
          <w:tab w:val="num" w:pos="360"/>
        </w:tabs>
        <w:autoSpaceDE/>
        <w:autoSpaceDN/>
        <w:adjustRightInd/>
        <w:spacing w:after="80"/>
        <w:ind w:left="360"/>
        <w:jc w:val="both"/>
        <w:rPr>
          <w:rFonts w:ascii="Calibri" w:hAnsi="Calibri" w:cs="Calibri"/>
          <w:sz w:val="28"/>
          <w:szCs w:val="28"/>
        </w:rPr>
      </w:pPr>
      <w:r w:rsidRPr="004A7CD0">
        <w:rPr>
          <w:rFonts w:ascii="Calibri" w:hAnsi="Calibri" w:cs="Calibri"/>
          <w:sz w:val="28"/>
          <w:szCs w:val="28"/>
        </w:rPr>
        <w:t xml:space="preserve">Support the development and continuation of programs that provide education to </w:t>
      </w:r>
      <w:r w:rsidR="009F6E30" w:rsidRPr="004A7CD0">
        <w:rPr>
          <w:rFonts w:ascii="Calibri" w:hAnsi="Calibri" w:cs="Calibri"/>
          <w:sz w:val="28"/>
          <w:szCs w:val="28"/>
        </w:rPr>
        <w:t xml:space="preserve">dental </w:t>
      </w:r>
      <w:r w:rsidR="00381CFE" w:rsidRPr="004A7CD0">
        <w:rPr>
          <w:rFonts w:ascii="Calibri" w:hAnsi="Calibri" w:cs="Calibri"/>
          <w:sz w:val="28"/>
          <w:szCs w:val="28"/>
        </w:rPr>
        <w:t xml:space="preserve">care </w:t>
      </w:r>
      <w:r w:rsidR="009F6E30" w:rsidRPr="004A7CD0">
        <w:rPr>
          <w:rFonts w:ascii="Calibri" w:hAnsi="Calibri" w:cs="Calibri"/>
          <w:sz w:val="28"/>
          <w:szCs w:val="28"/>
        </w:rPr>
        <w:t>professionals</w:t>
      </w:r>
      <w:r w:rsidRPr="004A7CD0">
        <w:rPr>
          <w:rFonts w:ascii="Calibri" w:hAnsi="Calibri" w:cs="Calibri"/>
          <w:sz w:val="28"/>
          <w:szCs w:val="28"/>
        </w:rPr>
        <w:t xml:space="preserve"> on the needs of individuals with </w:t>
      </w:r>
      <w:r w:rsidR="00651E1E" w:rsidRPr="004A7CD0">
        <w:rPr>
          <w:rFonts w:ascii="Calibri" w:hAnsi="Calibri" w:cs="Calibri"/>
          <w:sz w:val="28"/>
          <w:szCs w:val="28"/>
        </w:rPr>
        <w:t>I/DD.</w:t>
      </w:r>
      <w:r w:rsidR="00CC4304">
        <w:rPr>
          <w:rFonts w:ascii="Calibri" w:hAnsi="Calibri" w:cs="Calibri"/>
          <w:sz w:val="28"/>
          <w:szCs w:val="28"/>
        </w:rPr>
        <w:t xml:space="preserve"> </w:t>
      </w:r>
      <w:r w:rsidR="00CC4304" w:rsidRPr="00CC4304">
        <w:rPr>
          <w:rFonts w:ascii="Calibri" w:hAnsi="Calibri" w:cs="Calibri"/>
          <w:sz w:val="28"/>
          <w:szCs w:val="28"/>
          <w:highlight w:val="yellow"/>
        </w:rPr>
        <w:t>Ensuring that a</w:t>
      </w:r>
      <w:r w:rsidR="00CC4304" w:rsidRPr="00CC4304">
        <w:rPr>
          <w:rFonts w:ascii="Calibri" w:hAnsi="Calibri" w:cs="Calibri"/>
          <w:sz w:val="28"/>
          <w:szCs w:val="28"/>
          <w:highlight w:val="yellow"/>
        </w:rPr>
        <w:t>ll training programs include content on patient rights, informed consent, and communication strategies that promote autonomy. Individuals with disabilities shall be involved in the design and delivery of these trainings whenever possible.</w:t>
      </w:r>
    </w:p>
    <w:p w14:paraId="787A293B" w14:textId="4F5999F5" w:rsidR="00CE44B0" w:rsidRPr="00CC4304" w:rsidRDefault="00CC4304" w:rsidP="006D0221">
      <w:pPr>
        <w:widowControl/>
        <w:numPr>
          <w:ilvl w:val="0"/>
          <w:numId w:val="1"/>
        </w:numPr>
        <w:tabs>
          <w:tab w:val="clear" w:pos="720"/>
          <w:tab w:val="num" w:pos="360"/>
        </w:tabs>
        <w:autoSpaceDE/>
        <w:autoSpaceDN/>
        <w:adjustRightInd/>
        <w:spacing w:after="80"/>
        <w:ind w:left="360"/>
        <w:jc w:val="both"/>
        <w:rPr>
          <w:rFonts w:ascii="Arial" w:hAnsi="Arial" w:cs="Arial"/>
          <w:sz w:val="24"/>
        </w:rPr>
      </w:pPr>
      <w:r w:rsidRPr="00CC4304">
        <w:rPr>
          <w:rFonts w:ascii="Calibri" w:hAnsi="Calibri" w:cs="Calibri"/>
          <w:sz w:val="28"/>
          <w:szCs w:val="28"/>
          <w:highlight w:val="yellow"/>
        </w:rPr>
        <w:t>Ensure that individuals with disabilities are fully involved in their dental care decisions. Providers must offer information in accessible formats, explain procedures and benefits clearly, and respect the individual's right to give or withhold consent. Autonomy and self-determination must be upheld at every stage of care.</w:t>
      </w:r>
      <w:bookmarkEnd w:id="0"/>
    </w:p>
    <w:sectPr w:rsidR="00CE44B0" w:rsidRPr="00CC4304" w:rsidSect="00CC4304">
      <w:footerReference w:type="default" r:id="rId8"/>
      <w:pgSz w:w="12240" w:h="15840"/>
      <w:pgMar w:top="630" w:right="1080" w:bottom="1080" w:left="81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7E349" w14:textId="77777777" w:rsidR="00A103E3" w:rsidRDefault="00A103E3" w:rsidP="00A103E3">
      <w:r>
        <w:separator/>
      </w:r>
    </w:p>
  </w:endnote>
  <w:endnote w:type="continuationSeparator" w:id="0">
    <w:p w14:paraId="311ECD5F" w14:textId="77777777" w:rsidR="00A103E3" w:rsidRDefault="00A103E3" w:rsidP="00A1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5E722" w14:textId="77777777" w:rsidR="002B21B7" w:rsidRPr="002B21B7" w:rsidRDefault="00CC4304" w:rsidP="002B21B7">
    <w:pPr>
      <w:jc w:val="center"/>
      <w:rPr>
        <w:rFonts w:ascii="Arial" w:eastAsiaTheme="majorEastAsia" w:hAnsi="Arial" w:cs="Arial"/>
        <w:szCs w:val="20"/>
      </w:rPr>
    </w:pPr>
    <w:sdt>
      <w:sdtPr>
        <w:rPr>
          <w:rFonts w:ascii="Arial" w:hAnsi="Arial" w:cs="Arial"/>
          <w:color w:val="000000" w:themeColor="text1"/>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2B21B7" w:rsidRPr="002B21B7">
          <w:rPr>
            <w:rFonts w:ascii="Arial" w:hAnsi="Arial" w:cs="Arial"/>
            <w:color w:val="000000" w:themeColor="text1"/>
            <w:szCs w:val="20"/>
          </w:rPr>
          <w:t>NGCDD</w:t>
        </w:r>
      </w:sdtContent>
    </w:sdt>
    <w:r w:rsidR="002B21B7" w:rsidRPr="002B21B7">
      <w:rPr>
        <w:rFonts w:ascii="Arial" w:hAnsi="Arial" w:cs="Arial"/>
        <w:caps/>
        <w:color w:val="000000" w:themeColor="text1"/>
        <w:szCs w:val="20"/>
      </w:rPr>
      <w:t> | </w:t>
    </w:r>
    <w:sdt>
      <w:sdtPr>
        <w:rPr>
          <w:rFonts w:ascii="Arial" w:hAnsi="Arial" w:cs="Arial"/>
          <w:color w:val="000000" w:themeColor="text1"/>
          <w:szCs w:val="20"/>
        </w:rPr>
        <w:alias w:val="School"/>
        <w:tag w:val="School"/>
        <w:id w:val="1660265181"/>
        <w:dataBinding w:prefixMappings="xmlns:ns0='http://schemas.openxmlformats.org/officeDocument/2006/extended-properties' " w:xpath="/ns0:Properties[1]/ns0:Company[1]" w:storeItemID="{6668398D-A668-4E3E-A5EB-62B293D839F1}"/>
        <w:text/>
      </w:sdtPr>
      <w:sdtEndPr/>
      <w:sdtContent>
        <w:r w:rsidR="002B21B7" w:rsidRPr="002B21B7">
          <w:rPr>
            <w:rFonts w:ascii="Arial" w:hAnsi="Arial" w:cs="Arial"/>
            <w:color w:val="000000" w:themeColor="text1"/>
            <w:szCs w:val="20"/>
          </w:rPr>
          <w:t>808 W. Nye Lane, Carson City, NV 89703 | Phone: 775-684-8619</w:t>
        </w:r>
      </w:sdtContent>
    </w:sdt>
    <w:r w:rsidR="002B21B7" w:rsidRPr="002B21B7">
      <w:rPr>
        <w:rFonts w:ascii="Arial" w:hAnsi="Arial" w:cs="Arial"/>
        <w:color w:val="000000" w:themeColor="text1"/>
        <w:szCs w:val="20"/>
      </w:rPr>
      <w:t xml:space="preserve"> | Website: </w:t>
    </w:r>
    <w:hyperlink r:id="rId1" w:tgtFrame="_blank" w:history="1">
      <w:r w:rsidR="002B21B7" w:rsidRPr="002B21B7">
        <w:rPr>
          <w:rFonts w:ascii="Arial" w:hAnsi="Arial" w:cs="Arial"/>
          <w:color w:val="000000" w:themeColor="text1"/>
          <w:szCs w:val="20"/>
          <w:u w:val="single"/>
        </w:rPr>
        <w:t>www.nevadaddcouncil.org</w:t>
      </w:r>
      <w:r w:rsidR="002B21B7" w:rsidRPr="002B21B7">
        <w:rPr>
          <w:rFonts w:eastAsiaTheme="majorEastAsia"/>
        </w:rPr>
        <w:t> </w:t>
      </w:r>
    </w:hyperlink>
  </w:p>
  <w:p w14:paraId="4130C477" w14:textId="77777777" w:rsidR="002B21B7" w:rsidRDefault="002B2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CC3FC" w14:textId="77777777" w:rsidR="00A103E3" w:rsidRDefault="00A103E3" w:rsidP="00A103E3">
      <w:r>
        <w:separator/>
      </w:r>
    </w:p>
  </w:footnote>
  <w:footnote w:type="continuationSeparator" w:id="0">
    <w:p w14:paraId="182D6904" w14:textId="77777777" w:rsidR="00A103E3" w:rsidRDefault="00A103E3" w:rsidP="00A103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E316A"/>
    <w:multiLevelType w:val="hybridMultilevel"/>
    <w:tmpl w:val="7C927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A620F7"/>
    <w:multiLevelType w:val="hybridMultilevel"/>
    <w:tmpl w:val="C9B0DC52"/>
    <w:lvl w:ilvl="0" w:tplc="9AC05E0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61E07"/>
    <w:multiLevelType w:val="hybridMultilevel"/>
    <w:tmpl w:val="5D50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4504B1"/>
    <w:multiLevelType w:val="multilevel"/>
    <w:tmpl w:val="3C36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2987308">
    <w:abstractNumId w:val="1"/>
  </w:num>
  <w:num w:numId="2" w16cid:durableId="1547644756">
    <w:abstractNumId w:val="0"/>
  </w:num>
  <w:num w:numId="3" w16cid:durableId="1858999142">
    <w:abstractNumId w:val="2"/>
  </w:num>
  <w:num w:numId="4" w16cid:durableId="524489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9D0"/>
    <w:rsid w:val="00075008"/>
    <w:rsid w:val="000C672F"/>
    <w:rsid w:val="001141A1"/>
    <w:rsid w:val="00124473"/>
    <w:rsid w:val="001C5678"/>
    <w:rsid w:val="00237A90"/>
    <w:rsid w:val="00267202"/>
    <w:rsid w:val="002B21B7"/>
    <w:rsid w:val="003479D0"/>
    <w:rsid w:val="00381CFE"/>
    <w:rsid w:val="003D7D82"/>
    <w:rsid w:val="004373C5"/>
    <w:rsid w:val="004A7CD0"/>
    <w:rsid w:val="00651E1E"/>
    <w:rsid w:val="006A052A"/>
    <w:rsid w:val="007303B0"/>
    <w:rsid w:val="008D530D"/>
    <w:rsid w:val="00980ACE"/>
    <w:rsid w:val="00983644"/>
    <w:rsid w:val="009A5936"/>
    <w:rsid w:val="009A6AAC"/>
    <w:rsid w:val="009F6E30"/>
    <w:rsid w:val="00A103E3"/>
    <w:rsid w:val="00A61E38"/>
    <w:rsid w:val="00B11538"/>
    <w:rsid w:val="00B55DCC"/>
    <w:rsid w:val="00B568F6"/>
    <w:rsid w:val="00B96E35"/>
    <w:rsid w:val="00BB32E6"/>
    <w:rsid w:val="00BB4E13"/>
    <w:rsid w:val="00BF33FE"/>
    <w:rsid w:val="00C51FE0"/>
    <w:rsid w:val="00CC4304"/>
    <w:rsid w:val="00CE44B0"/>
    <w:rsid w:val="00CF0DFD"/>
    <w:rsid w:val="00E046ED"/>
    <w:rsid w:val="00EC7C38"/>
    <w:rsid w:val="00ED64C0"/>
    <w:rsid w:val="00F035E8"/>
    <w:rsid w:val="00F206FC"/>
    <w:rsid w:val="00FA1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81FB15"/>
  <w15:chartTrackingRefBased/>
  <w15:docId w15:val="{6A5F9043-AE34-4862-9A5B-BBC171362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9D0"/>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autoRedefine/>
    <w:uiPriority w:val="9"/>
    <w:qFormat/>
    <w:rsid w:val="009F6E30"/>
    <w:pPr>
      <w:keepNext/>
      <w:keepLines/>
      <w:spacing w:before="240"/>
      <w:jc w:val="center"/>
      <w:outlineLvl w:val="0"/>
    </w:pPr>
    <w:rPr>
      <w:rFonts w:ascii="Arial" w:eastAsiaTheme="majorEastAsia" w:hAnsi="Arial" w:cstheme="majorBidi"/>
      <w:b/>
      <w:bCs/>
      <w:sz w:val="32"/>
      <w:szCs w:val="32"/>
    </w:rPr>
  </w:style>
  <w:style w:type="paragraph" w:styleId="Heading2">
    <w:name w:val="heading 2"/>
    <w:basedOn w:val="Normal"/>
    <w:next w:val="Normal"/>
    <w:link w:val="Heading2Char"/>
    <w:autoRedefine/>
    <w:unhideWhenUsed/>
    <w:qFormat/>
    <w:rsid w:val="009F6E30"/>
    <w:pPr>
      <w:keepNext/>
      <w:keepLines/>
      <w:spacing w:before="480"/>
      <w:jc w:val="center"/>
      <w:outlineLvl w:val="1"/>
    </w:pPr>
    <w:rPr>
      <w:rFonts w:ascii="Arial" w:eastAsiaTheme="majorEastAsia" w:hAnsi="Arial" w:cs="Arial"/>
      <w:sz w:val="28"/>
      <w:szCs w:val="28"/>
      <w:u w:val="single"/>
    </w:rPr>
  </w:style>
  <w:style w:type="paragraph" w:styleId="Heading3">
    <w:name w:val="heading 3"/>
    <w:basedOn w:val="Normal"/>
    <w:next w:val="Normal"/>
    <w:link w:val="Heading3Char"/>
    <w:uiPriority w:val="9"/>
    <w:unhideWhenUsed/>
    <w:qFormat/>
    <w:rsid w:val="001C5678"/>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E30"/>
    <w:rPr>
      <w:rFonts w:ascii="Arial" w:eastAsiaTheme="majorEastAsia" w:hAnsi="Arial" w:cstheme="majorBidi"/>
      <w:b/>
      <w:bCs/>
      <w:sz w:val="32"/>
      <w:szCs w:val="32"/>
    </w:rPr>
  </w:style>
  <w:style w:type="character" w:customStyle="1" w:styleId="Heading2Char">
    <w:name w:val="Heading 2 Char"/>
    <w:basedOn w:val="DefaultParagraphFont"/>
    <w:link w:val="Heading2"/>
    <w:rsid w:val="009F6E30"/>
    <w:rPr>
      <w:rFonts w:ascii="Arial" w:eastAsiaTheme="majorEastAsia" w:hAnsi="Arial" w:cs="Arial"/>
      <w:sz w:val="28"/>
      <w:szCs w:val="28"/>
      <w:u w:val="single"/>
    </w:rPr>
  </w:style>
  <w:style w:type="paragraph" w:styleId="BodyText">
    <w:name w:val="Body Text"/>
    <w:basedOn w:val="Normal"/>
    <w:link w:val="BodyTextChar"/>
    <w:rsid w:val="003479D0"/>
    <w:pPr>
      <w:widowControl/>
      <w:autoSpaceDE/>
      <w:autoSpaceDN/>
      <w:adjustRightInd/>
    </w:pPr>
    <w:rPr>
      <w:sz w:val="22"/>
    </w:rPr>
  </w:style>
  <w:style w:type="character" w:customStyle="1" w:styleId="BodyTextChar">
    <w:name w:val="Body Text Char"/>
    <w:basedOn w:val="DefaultParagraphFont"/>
    <w:link w:val="BodyText"/>
    <w:rsid w:val="003479D0"/>
    <w:rPr>
      <w:rFonts w:ascii="Times New Roman" w:eastAsia="Times New Roman" w:hAnsi="Times New Roman" w:cs="Times New Roman"/>
      <w:szCs w:val="24"/>
    </w:rPr>
  </w:style>
  <w:style w:type="character" w:styleId="Strong">
    <w:name w:val="Strong"/>
    <w:qFormat/>
    <w:rsid w:val="003479D0"/>
    <w:rPr>
      <w:b/>
      <w:bCs/>
    </w:rPr>
  </w:style>
  <w:style w:type="paragraph" w:styleId="BalloonText">
    <w:name w:val="Balloon Text"/>
    <w:basedOn w:val="Normal"/>
    <w:link w:val="BalloonTextChar"/>
    <w:uiPriority w:val="99"/>
    <w:semiHidden/>
    <w:unhideWhenUsed/>
    <w:rsid w:val="00237A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A90"/>
    <w:rPr>
      <w:rFonts w:ascii="Segoe UI" w:eastAsia="Times New Roman" w:hAnsi="Segoe UI" w:cs="Segoe UI"/>
      <w:sz w:val="18"/>
      <w:szCs w:val="18"/>
    </w:rPr>
  </w:style>
  <w:style w:type="paragraph" w:styleId="ListParagraph">
    <w:name w:val="List Paragraph"/>
    <w:basedOn w:val="Normal"/>
    <w:uiPriority w:val="34"/>
    <w:qFormat/>
    <w:rsid w:val="004373C5"/>
    <w:pPr>
      <w:ind w:left="720"/>
      <w:contextualSpacing/>
    </w:pPr>
  </w:style>
  <w:style w:type="character" w:customStyle="1" w:styleId="Heading3Char">
    <w:name w:val="Heading 3 Char"/>
    <w:basedOn w:val="DefaultParagraphFont"/>
    <w:link w:val="Heading3"/>
    <w:uiPriority w:val="9"/>
    <w:rsid w:val="001C5678"/>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A103E3"/>
    <w:pPr>
      <w:tabs>
        <w:tab w:val="center" w:pos="4680"/>
        <w:tab w:val="right" w:pos="9360"/>
      </w:tabs>
    </w:pPr>
  </w:style>
  <w:style w:type="character" w:customStyle="1" w:styleId="HeaderChar">
    <w:name w:val="Header Char"/>
    <w:basedOn w:val="DefaultParagraphFont"/>
    <w:link w:val="Header"/>
    <w:uiPriority w:val="99"/>
    <w:rsid w:val="00A103E3"/>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A103E3"/>
    <w:pPr>
      <w:tabs>
        <w:tab w:val="center" w:pos="4680"/>
        <w:tab w:val="right" w:pos="9360"/>
      </w:tabs>
    </w:pPr>
  </w:style>
  <w:style w:type="character" w:customStyle="1" w:styleId="FooterChar">
    <w:name w:val="Footer Char"/>
    <w:basedOn w:val="DefaultParagraphFont"/>
    <w:link w:val="Footer"/>
    <w:uiPriority w:val="99"/>
    <w:rsid w:val="00A103E3"/>
    <w:rPr>
      <w:rFonts w:ascii="Times New Roman" w:eastAsia="Times New Roman" w:hAnsi="Times New Roman" w:cs="Times New Roman"/>
      <w:sz w:val="20"/>
      <w:szCs w:val="24"/>
    </w:rPr>
  </w:style>
  <w:style w:type="character" w:styleId="Hyperlink">
    <w:name w:val="Hyperlink"/>
    <w:basedOn w:val="DefaultParagraphFont"/>
    <w:uiPriority w:val="99"/>
    <w:semiHidden/>
    <w:unhideWhenUsed/>
    <w:rsid w:val="00A103E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96926">
      <w:bodyDiv w:val="1"/>
      <w:marLeft w:val="0"/>
      <w:marRight w:val="0"/>
      <w:marTop w:val="0"/>
      <w:marBottom w:val="0"/>
      <w:divBdr>
        <w:top w:val="none" w:sz="0" w:space="0" w:color="auto"/>
        <w:left w:val="none" w:sz="0" w:space="0" w:color="auto"/>
        <w:bottom w:val="none" w:sz="0" w:space="0" w:color="auto"/>
        <w:right w:val="none" w:sz="0" w:space="0" w:color="auto"/>
      </w:divBdr>
    </w:div>
    <w:div w:id="1206216992">
      <w:bodyDiv w:val="1"/>
      <w:marLeft w:val="0"/>
      <w:marRight w:val="0"/>
      <w:marTop w:val="0"/>
      <w:marBottom w:val="0"/>
      <w:divBdr>
        <w:top w:val="none" w:sz="0" w:space="0" w:color="auto"/>
        <w:left w:val="none" w:sz="0" w:space="0" w:color="auto"/>
        <w:bottom w:val="none" w:sz="0" w:space="0" w:color="auto"/>
        <w:right w:val="none" w:sz="0" w:space="0" w:color="auto"/>
      </w:divBdr>
    </w:div>
    <w:div w:id="212569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evadadd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808 W. Nye Lane, Carson City, NV 89703 | Phone: 775-684-8619</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NGCDD</dc:creator>
  <cp:keywords/>
  <dc:description/>
  <cp:lastModifiedBy>Catherine M. Nielsen</cp:lastModifiedBy>
  <cp:revision>2</cp:revision>
  <cp:lastPrinted>2018-08-30T17:44:00Z</cp:lastPrinted>
  <dcterms:created xsi:type="dcterms:W3CDTF">2025-05-20T16:32:00Z</dcterms:created>
  <dcterms:modified xsi:type="dcterms:W3CDTF">2025-05-20T16:32:00Z</dcterms:modified>
</cp:coreProperties>
</file>