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C993" w14:textId="5820BC95" w:rsidR="00886314" w:rsidRDefault="00886314" w:rsidP="00886314">
      <w:pPr>
        <w:tabs>
          <w:tab w:val="center" w:pos="3754"/>
        </w:tabs>
        <w:jc w:val="center"/>
        <w:rPr>
          <w:rFonts w:ascii="Arial" w:hAnsi="Arial" w:cs="Arial"/>
          <w:b/>
          <w:bCs/>
          <w:sz w:val="40"/>
          <w:szCs w:val="40"/>
        </w:rPr>
      </w:pPr>
      <w:r>
        <w:rPr>
          <w:noProof/>
        </w:rPr>
        <w:drawing>
          <wp:anchor distT="0" distB="0" distL="114300" distR="114300" simplePos="0" relativeHeight="251658240" behindDoc="1" locked="0" layoutInCell="1" allowOverlap="1" wp14:anchorId="03CA0219" wp14:editId="7E7D3374">
            <wp:simplePos x="0" y="0"/>
            <wp:positionH relativeFrom="column">
              <wp:posOffset>0</wp:posOffset>
            </wp:positionH>
            <wp:positionV relativeFrom="paragraph">
              <wp:posOffset>0</wp:posOffset>
            </wp:positionV>
            <wp:extent cx="650118" cy="962025"/>
            <wp:effectExtent l="0" t="0" r="0" b="0"/>
            <wp:wrapTight wrapText="bothSides">
              <wp:wrapPolygon edited="0">
                <wp:start x="0" y="0"/>
                <wp:lineTo x="0" y="20958"/>
                <wp:lineTo x="20903" y="20958"/>
                <wp:lineTo x="20903"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0118" cy="962025"/>
                    </a:xfrm>
                    <a:prstGeom prst="rect">
                      <a:avLst/>
                    </a:prstGeom>
                  </pic:spPr>
                </pic:pic>
              </a:graphicData>
            </a:graphic>
          </wp:anchor>
        </w:drawing>
      </w:r>
      <w:r w:rsidRPr="007F6D14">
        <w:rPr>
          <w:rFonts w:ascii="Arial" w:hAnsi="Arial" w:cs="Arial"/>
          <w:b/>
          <w:bCs/>
          <w:sz w:val="40"/>
          <w:szCs w:val="40"/>
        </w:rPr>
        <w:t>NEVADA GOVERNOR’S COUNCIL ON</w:t>
      </w:r>
      <w:r w:rsidRPr="007F6D14">
        <w:rPr>
          <w:rFonts w:ascii="Arial" w:hAnsi="Arial" w:cs="Arial"/>
          <w:b/>
          <w:bCs/>
          <w:sz w:val="40"/>
          <w:szCs w:val="40"/>
        </w:rPr>
        <w:tab/>
        <w:t>DEVELOPMENTAL DISABILITIES</w:t>
      </w:r>
    </w:p>
    <w:p w14:paraId="7AEF802F" w14:textId="51158608" w:rsidR="00886314" w:rsidRDefault="00886314" w:rsidP="00886314">
      <w:pPr>
        <w:tabs>
          <w:tab w:val="center" w:pos="3754"/>
        </w:tabs>
        <w:jc w:val="center"/>
        <w:rPr>
          <w:rFonts w:ascii="Arial" w:hAnsi="Arial" w:cs="Arial"/>
          <w:b/>
          <w:bCs/>
          <w:sz w:val="40"/>
          <w:szCs w:val="40"/>
        </w:rPr>
      </w:pPr>
    </w:p>
    <w:p w14:paraId="18B0C72E" w14:textId="032A5DFD" w:rsidR="003955DB" w:rsidRDefault="00886314" w:rsidP="00ED42E5">
      <w:pPr>
        <w:tabs>
          <w:tab w:val="center" w:pos="3754"/>
        </w:tabs>
        <w:jc w:val="center"/>
        <w:rPr>
          <w:rFonts w:ascii="Arial" w:hAnsi="Arial" w:cs="Arial"/>
          <w:b/>
          <w:bCs/>
          <w:sz w:val="40"/>
          <w:szCs w:val="40"/>
        </w:rPr>
      </w:pPr>
      <w:r w:rsidRPr="00886314">
        <w:rPr>
          <w:rFonts w:ascii="Arial" w:hAnsi="Arial" w:cs="Arial"/>
          <w:b/>
          <w:bCs/>
          <w:sz w:val="40"/>
          <w:szCs w:val="40"/>
        </w:rPr>
        <w:t xml:space="preserve">Position on </w:t>
      </w:r>
      <w:r w:rsidR="00ED42E5" w:rsidRPr="00ED42E5">
        <w:rPr>
          <w:rFonts w:ascii="Arial" w:hAnsi="Arial" w:cs="Arial"/>
          <w:b/>
          <w:bCs/>
          <w:sz w:val="40"/>
          <w:szCs w:val="40"/>
        </w:rPr>
        <w:t>Immigration and Individuals with Intellectual and/or Developmental Disabilities (IDD)</w:t>
      </w:r>
    </w:p>
    <w:p w14:paraId="07F3124A" w14:textId="77777777" w:rsidR="00ED42E5" w:rsidRDefault="00ED42E5" w:rsidP="00ED42E5">
      <w:pPr>
        <w:tabs>
          <w:tab w:val="center" w:pos="3754"/>
        </w:tabs>
        <w:jc w:val="center"/>
      </w:pPr>
    </w:p>
    <w:p w14:paraId="508A6B06" w14:textId="01B6CB35" w:rsidR="00ED42E5" w:rsidRDefault="00ED42E5" w:rsidP="00ED42E5">
      <w:pPr>
        <w:rPr>
          <w:rFonts w:ascii="Arial" w:hAnsi="Arial" w:cs="Arial"/>
          <w:color w:val="000000"/>
          <w:sz w:val="24"/>
        </w:rPr>
      </w:pPr>
      <w:r w:rsidRPr="00ED42E5">
        <w:rPr>
          <w:rFonts w:ascii="Arial" w:hAnsi="Arial" w:cs="Arial"/>
          <w:color w:val="000000"/>
          <w:sz w:val="24"/>
        </w:rPr>
        <w:t>Nevada is home to many immigrant and mixed-status families, including households in which individuals with intellectual and developmental disabilities (IDD) or their caregivers hold varied or uncertain immigration statuses. Council discussions have highlighted widespread fear and confusion about eligibility for disability services, concerns related to the federal public charge rule, and cultural, linguistic, and systemic barriers that discourage families from seeking supports. These fears often lead immigrant families to withdraw from programs, decline essential services, or avoid interacting with public systems altogether, even when they are legally eligible.</w:t>
      </w:r>
      <w:r>
        <w:rPr>
          <w:rFonts w:ascii="Arial" w:hAnsi="Arial" w:cs="Arial"/>
          <w:color w:val="000000"/>
          <w:sz w:val="24"/>
        </w:rPr>
        <w:t xml:space="preserve"> </w:t>
      </w:r>
      <w:r w:rsidRPr="00ED42E5">
        <w:rPr>
          <w:rFonts w:ascii="Arial" w:hAnsi="Arial" w:cs="Arial"/>
          <w:color w:val="000000"/>
          <w:sz w:val="24"/>
        </w:rPr>
        <w:t>No family should avoid services out of fear, misinformation, or discrimination.</w:t>
      </w:r>
    </w:p>
    <w:p w14:paraId="3C1C95C8" w14:textId="77777777" w:rsidR="00ED42E5" w:rsidRPr="00ED42E5" w:rsidRDefault="00ED42E5" w:rsidP="00ED42E5">
      <w:pPr>
        <w:rPr>
          <w:rFonts w:ascii="Arial" w:hAnsi="Arial" w:cs="Arial"/>
          <w:color w:val="000000"/>
          <w:sz w:val="24"/>
        </w:rPr>
      </w:pPr>
    </w:p>
    <w:p w14:paraId="2D7FED71" w14:textId="77777777" w:rsidR="00ED42E5" w:rsidRDefault="00ED42E5" w:rsidP="00ED42E5">
      <w:pPr>
        <w:rPr>
          <w:rFonts w:ascii="Arial" w:hAnsi="Arial" w:cs="Arial"/>
          <w:color w:val="000000"/>
          <w:sz w:val="24"/>
        </w:rPr>
      </w:pPr>
      <w:r w:rsidRPr="00ED42E5">
        <w:rPr>
          <w:rFonts w:ascii="Arial" w:hAnsi="Arial" w:cs="Arial"/>
          <w:color w:val="000000"/>
          <w:sz w:val="24"/>
        </w:rPr>
        <w:t>The Council also recognizes that people with disabilities who immigrate to the United States face unique and often severe challenges throughout the immigration process. Many individuals with IDD arrive without access to medical or diagnostic records, without culturally appropriate evaluations, or from countries where disability is misunderstood or heavily stigmatized. Immigrants with disabilities may struggle to access accommodations during asylum or legal proceedings. They may experience communication barriers, lack of interpretation services, limited access to transportation, trauma related to migration, and difficulty navigating complex service systems that vary drastically from their countries of origin. These challenges can delay or prevent individuals from securing the supports needed to maintain health, safety, independence, and community inclusion.</w:t>
      </w:r>
    </w:p>
    <w:p w14:paraId="4FCDE809" w14:textId="77777777" w:rsidR="00ED42E5" w:rsidRPr="00ED42E5" w:rsidRDefault="00ED42E5" w:rsidP="00ED42E5">
      <w:pPr>
        <w:rPr>
          <w:rFonts w:ascii="Arial" w:hAnsi="Arial" w:cs="Arial"/>
          <w:color w:val="000000"/>
          <w:sz w:val="24"/>
        </w:rPr>
      </w:pPr>
    </w:p>
    <w:p w14:paraId="1FC4C6C5" w14:textId="77777777" w:rsidR="00ED42E5" w:rsidRPr="00ED42E5" w:rsidRDefault="00ED42E5" w:rsidP="00ED42E5">
      <w:pPr>
        <w:rPr>
          <w:rFonts w:ascii="Arial" w:hAnsi="Arial" w:cs="Arial"/>
          <w:b/>
          <w:bCs/>
          <w:color w:val="000000"/>
          <w:sz w:val="24"/>
        </w:rPr>
      </w:pPr>
      <w:r w:rsidRPr="00ED42E5">
        <w:rPr>
          <w:rFonts w:ascii="Arial" w:hAnsi="Arial" w:cs="Arial"/>
          <w:b/>
          <w:bCs/>
          <w:color w:val="000000"/>
          <w:sz w:val="24"/>
        </w:rPr>
        <w:t>The Nevada Governor’s Council on Developmental Disabilities (NGCDD) believes that all individuals with intellectual and developmental disabilities deserve equitable access to the services, supports, and protections that allow them to live healthy, self-directed, and inclusive lives. This includes people with disabilities who immigrated to the United States as well as families within immigrant communities. Disability and immigration intersect in ways that amplify barriers, create heightened fears, and foster misinformation. Therefore, the NGCDD supports equitable access to accurate information, culturally responsive services, and disability supports for all individuals with IDD and their families, regardless of immigration status. No family or individual should avoid necessary services because of fear, misinformation, discrimination, or systemic inequities.</w:t>
      </w:r>
    </w:p>
    <w:p w14:paraId="7F0CEA16" w14:textId="77777777" w:rsidR="00ED42E5" w:rsidRDefault="00ED42E5" w:rsidP="00ED42E5">
      <w:pPr>
        <w:rPr>
          <w:rFonts w:ascii="Arial" w:hAnsi="Arial" w:cs="Arial"/>
          <w:color w:val="000000"/>
          <w:sz w:val="24"/>
        </w:rPr>
      </w:pPr>
    </w:p>
    <w:p w14:paraId="385C264C" w14:textId="74DCA6B2" w:rsidR="00ED42E5" w:rsidRPr="00ED42E5" w:rsidRDefault="00ED42E5" w:rsidP="00ED42E5">
      <w:pPr>
        <w:rPr>
          <w:rFonts w:ascii="Arial" w:hAnsi="Arial" w:cs="Arial"/>
          <w:b/>
          <w:bCs/>
          <w:color w:val="000000"/>
          <w:sz w:val="24"/>
          <w:u w:val="single"/>
        </w:rPr>
      </w:pPr>
      <w:r w:rsidRPr="00ED42E5">
        <w:rPr>
          <w:rFonts w:ascii="Arial" w:hAnsi="Arial" w:cs="Arial"/>
          <w:b/>
          <w:bCs/>
          <w:color w:val="000000"/>
          <w:sz w:val="24"/>
          <w:u w:val="single"/>
        </w:rPr>
        <w:t>Policy Recommendations:</w:t>
      </w:r>
    </w:p>
    <w:p w14:paraId="5AD84BD4" w14:textId="77777777" w:rsidR="00ED42E5" w:rsidRPr="00ED42E5" w:rsidRDefault="00ED42E5" w:rsidP="00ED42E5">
      <w:pPr>
        <w:rPr>
          <w:rFonts w:ascii="Arial" w:hAnsi="Arial" w:cs="Arial"/>
          <w:color w:val="000000"/>
          <w:sz w:val="24"/>
        </w:rPr>
      </w:pPr>
    </w:p>
    <w:p w14:paraId="3996F16D" w14:textId="77777777" w:rsidR="00ED42E5" w:rsidRPr="00ED42E5" w:rsidRDefault="00ED42E5" w:rsidP="00ED42E5">
      <w:pPr>
        <w:rPr>
          <w:rFonts w:ascii="Arial" w:hAnsi="Arial" w:cs="Arial"/>
          <w:b/>
          <w:bCs/>
          <w:color w:val="000000"/>
          <w:sz w:val="24"/>
        </w:rPr>
      </w:pPr>
      <w:r w:rsidRPr="00ED42E5">
        <w:rPr>
          <w:rFonts w:ascii="Arial" w:hAnsi="Arial" w:cs="Arial"/>
          <w:b/>
          <w:bCs/>
          <w:color w:val="000000"/>
          <w:sz w:val="24"/>
        </w:rPr>
        <w:t>1. Protect Access to Disability Services</w:t>
      </w:r>
    </w:p>
    <w:p w14:paraId="7110FDB8" w14:textId="77777777" w:rsidR="00ED42E5" w:rsidRDefault="00ED42E5" w:rsidP="00ED42E5">
      <w:pPr>
        <w:pStyle w:val="ListParagraph"/>
        <w:numPr>
          <w:ilvl w:val="0"/>
          <w:numId w:val="21"/>
        </w:numPr>
        <w:ind w:left="900" w:hanging="180"/>
        <w:rPr>
          <w:rFonts w:ascii="Arial" w:hAnsi="Arial" w:cs="Arial"/>
          <w:color w:val="000000"/>
          <w:sz w:val="24"/>
        </w:rPr>
      </w:pPr>
      <w:r w:rsidRPr="00ED42E5">
        <w:rPr>
          <w:rFonts w:ascii="Arial" w:hAnsi="Arial" w:cs="Arial"/>
          <w:color w:val="000000"/>
          <w:sz w:val="24"/>
        </w:rPr>
        <w:t>Ensure that all individuals with IDD, regardless of immigration status, can seek information and support without fear of negative immigration consequences.</w:t>
      </w:r>
    </w:p>
    <w:p w14:paraId="6FD65311" w14:textId="77777777" w:rsidR="00ED42E5" w:rsidRDefault="00ED42E5" w:rsidP="00ED42E5">
      <w:pPr>
        <w:pStyle w:val="ListParagraph"/>
        <w:numPr>
          <w:ilvl w:val="0"/>
          <w:numId w:val="21"/>
        </w:numPr>
        <w:ind w:left="900" w:hanging="180"/>
        <w:rPr>
          <w:rFonts w:ascii="Arial" w:hAnsi="Arial" w:cs="Arial"/>
          <w:color w:val="000000"/>
          <w:sz w:val="24"/>
        </w:rPr>
      </w:pPr>
      <w:r w:rsidRPr="00ED42E5">
        <w:rPr>
          <w:rFonts w:ascii="Arial" w:hAnsi="Arial" w:cs="Arial"/>
          <w:color w:val="000000"/>
          <w:sz w:val="24"/>
        </w:rPr>
        <w:t xml:space="preserve">Clarify that disability-related services, including early intervention, education services, emergency supports, and home and community-based services, are not considered </w:t>
      </w:r>
      <w:r w:rsidRPr="00ED42E5">
        <w:rPr>
          <w:rFonts w:ascii="Arial" w:hAnsi="Arial" w:cs="Arial"/>
          <w:color w:val="000000"/>
          <w:sz w:val="24"/>
        </w:rPr>
        <w:lastRenderedPageBreak/>
        <w:t>under the federal public charge rule.</w:t>
      </w:r>
    </w:p>
    <w:p w14:paraId="6EB8C62D" w14:textId="730A5E73" w:rsidR="00ED42E5" w:rsidRPr="00ED42E5" w:rsidRDefault="00ED42E5" w:rsidP="00ED42E5">
      <w:pPr>
        <w:pStyle w:val="ListParagraph"/>
        <w:numPr>
          <w:ilvl w:val="0"/>
          <w:numId w:val="21"/>
        </w:numPr>
        <w:spacing w:after="120"/>
        <w:ind w:left="907" w:hanging="187"/>
        <w:rPr>
          <w:rFonts w:ascii="Arial" w:hAnsi="Arial" w:cs="Arial"/>
          <w:color w:val="000000"/>
          <w:sz w:val="24"/>
        </w:rPr>
      </w:pPr>
      <w:r w:rsidRPr="00ED42E5">
        <w:rPr>
          <w:rFonts w:ascii="Arial" w:hAnsi="Arial" w:cs="Arial"/>
          <w:color w:val="000000"/>
          <w:sz w:val="24"/>
        </w:rPr>
        <w:t>Provide accurate, accessible, and consistent information about eligibility, program requirements, and confidentiality protections across agencies and service systems.</w:t>
      </w:r>
    </w:p>
    <w:p w14:paraId="4197958C" w14:textId="77777777" w:rsidR="00ED42E5" w:rsidRPr="00ED42E5" w:rsidRDefault="00ED42E5" w:rsidP="00ED42E5">
      <w:pPr>
        <w:rPr>
          <w:rFonts w:ascii="Arial" w:hAnsi="Arial" w:cs="Arial"/>
          <w:b/>
          <w:bCs/>
          <w:color w:val="000000"/>
          <w:sz w:val="24"/>
        </w:rPr>
      </w:pPr>
      <w:r w:rsidRPr="00ED42E5">
        <w:rPr>
          <w:rFonts w:ascii="Arial" w:hAnsi="Arial" w:cs="Arial"/>
          <w:b/>
          <w:bCs/>
          <w:color w:val="000000"/>
          <w:sz w:val="24"/>
        </w:rPr>
        <w:t>2. Provide Clear, Accessible, and Culturally Responsive Information</w:t>
      </w:r>
    </w:p>
    <w:p w14:paraId="5E502E35" w14:textId="77777777" w:rsidR="00ED42E5" w:rsidRDefault="00ED42E5" w:rsidP="00ED42E5">
      <w:pPr>
        <w:pStyle w:val="ListParagraph"/>
        <w:numPr>
          <w:ilvl w:val="0"/>
          <w:numId w:val="21"/>
        </w:numPr>
        <w:ind w:left="900" w:hanging="180"/>
        <w:rPr>
          <w:rFonts w:ascii="Arial" w:hAnsi="Arial" w:cs="Arial"/>
          <w:color w:val="000000"/>
          <w:sz w:val="24"/>
        </w:rPr>
      </w:pPr>
      <w:r w:rsidRPr="00ED42E5">
        <w:rPr>
          <w:rFonts w:ascii="Arial" w:hAnsi="Arial" w:cs="Arial"/>
          <w:color w:val="000000"/>
          <w:sz w:val="24"/>
        </w:rPr>
        <w:t>Expand language access, interpretation, and culturally competent communication across all state and local disability support agencies.</w:t>
      </w:r>
    </w:p>
    <w:p w14:paraId="67ADFE4F" w14:textId="77777777" w:rsidR="00ED42E5" w:rsidRDefault="00ED42E5" w:rsidP="00ED42E5">
      <w:pPr>
        <w:pStyle w:val="ListParagraph"/>
        <w:numPr>
          <w:ilvl w:val="0"/>
          <w:numId w:val="21"/>
        </w:numPr>
        <w:ind w:left="900" w:hanging="180"/>
        <w:rPr>
          <w:rFonts w:ascii="Arial" w:hAnsi="Arial" w:cs="Arial"/>
          <w:color w:val="000000"/>
          <w:sz w:val="24"/>
        </w:rPr>
      </w:pPr>
      <w:r w:rsidRPr="00ED42E5">
        <w:rPr>
          <w:rFonts w:ascii="Arial" w:hAnsi="Arial" w:cs="Arial"/>
          <w:color w:val="000000"/>
          <w:sz w:val="24"/>
        </w:rPr>
        <w:t>Ensure that materials are accessible to people with disabilities and account for cultural context, literacy levels, and family needs.</w:t>
      </w:r>
    </w:p>
    <w:p w14:paraId="6F50F698" w14:textId="355DB9CF" w:rsidR="00ED42E5" w:rsidRPr="00ED42E5" w:rsidRDefault="00ED42E5" w:rsidP="00ED42E5">
      <w:pPr>
        <w:pStyle w:val="ListParagraph"/>
        <w:numPr>
          <w:ilvl w:val="0"/>
          <w:numId w:val="21"/>
        </w:numPr>
        <w:spacing w:after="120"/>
        <w:ind w:left="907" w:hanging="187"/>
        <w:rPr>
          <w:rFonts w:ascii="Arial" w:hAnsi="Arial" w:cs="Arial"/>
          <w:color w:val="000000"/>
          <w:sz w:val="24"/>
        </w:rPr>
      </w:pPr>
      <w:r w:rsidRPr="00ED42E5">
        <w:rPr>
          <w:rFonts w:ascii="Arial" w:hAnsi="Arial" w:cs="Arial"/>
          <w:color w:val="000000"/>
          <w:sz w:val="24"/>
        </w:rPr>
        <w:t>Use community-based outreach strategies developed in partnership with trusted cultural and immigrant-serving organizations to reduce stigma and dispel myths.</w:t>
      </w:r>
    </w:p>
    <w:p w14:paraId="10112427" w14:textId="77777777" w:rsidR="00ED42E5" w:rsidRPr="00ED42E5" w:rsidRDefault="00ED42E5" w:rsidP="00ED42E5">
      <w:pPr>
        <w:rPr>
          <w:rFonts w:ascii="Arial" w:hAnsi="Arial" w:cs="Arial"/>
          <w:b/>
          <w:bCs/>
          <w:color w:val="000000"/>
          <w:sz w:val="24"/>
        </w:rPr>
      </w:pPr>
      <w:r w:rsidRPr="00ED42E5">
        <w:rPr>
          <w:rFonts w:ascii="Arial" w:hAnsi="Arial" w:cs="Arial"/>
          <w:b/>
          <w:bCs/>
          <w:color w:val="000000"/>
          <w:sz w:val="24"/>
        </w:rPr>
        <w:t>3. Support Family Unity and Stability</w:t>
      </w:r>
    </w:p>
    <w:p w14:paraId="52991516" w14:textId="77777777" w:rsidR="00ED42E5" w:rsidRDefault="00ED42E5" w:rsidP="00ED42E5">
      <w:pPr>
        <w:pStyle w:val="ListParagraph"/>
        <w:numPr>
          <w:ilvl w:val="0"/>
          <w:numId w:val="21"/>
        </w:numPr>
        <w:ind w:left="900" w:hanging="180"/>
        <w:rPr>
          <w:rFonts w:ascii="Arial" w:hAnsi="Arial" w:cs="Arial"/>
          <w:color w:val="000000"/>
          <w:sz w:val="24"/>
        </w:rPr>
      </w:pPr>
      <w:r w:rsidRPr="00ED42E5">
        <w:rPr>
          <w:rFonts w:ascii="Arial" w:hAnsi="Arial" w:cs="Arial"/>
          <w:color w:val="000000"/>
          <w:sz w:val="24"/>
        </w:rPr>
        <w:t>Affirm that family stability is fundamental to the well-being of individuals with IDD.</w:t>
      </w:r>
    </w:p>
    <w:p w14:paraId="4C5C00D6" w14:textId="77777777" w:rsidR="00ED42E5" w:rsidRDefault="00ED42E5" w:rsidP="00ED42E5">
      <w:pPr>
        <w:pStyle w:val="ListParagraph"/>
        <w:numPr>
          <w:ilvl w:val="0"/>
          <w:numId w:val="21"/>
        </w:numPr>
        <w:ind w:left="900" w:hanging="180"/>
        <w:rPr>
          <w:rFonts w:ascii="Arial" w:hAnsi="Arial" w:cs="Arial"/>
          <w:color w:val="000000"/>
          <w:sz w:val="24"/>
        </w:rPr>
      </w:pPr>
      <w:r w:rsidRPr="00ED42E5">
        <w:rPr>
          <w:rFonts w:ascii="Arial" w:hAnsi="Arial" w:cs="Arial"/>
          <w:color w:val="000000"/>
          <w:sz w:val="24"/>
        </w:rPr>
        <w:t>Promote policies that prevent unnecessary fear among immigrant families seeking disability-related services, and ensure families are not deterred by concerns about separation or legal consequences.</w:t>
      </w:r>
    </w:p>
    <w:p w14:paraId="7CA49440" w14:textId="30DA9391" w:rsidR="00ED42E5" w:rsidRPr="00ED42E5" w:rsidRDefault="00ED42E5" w:rsidP="00ED42E5">
      <w:pPr>
        <w:pStyle w:val="ListParagraph"/>
        <w:numPr>
          <w:ilvl w:val="0"/>
          <w:numId w:val="21"/>
        </w:numPr>
        <w:spacing w:after="120"/>
        <w:ind w:left="907" w:hanging="187"/>
        <w:rPr>
          <w:rFonts w:ascii="Arial" w:hAnsi="Arial" w:cs="Arial"/>
          <w:color w:val="000000"/>
          <w:sz w:val="24"/>
        </w:rPr>
      </w:pPr>
      <w:r w:rsidRPr="00ED42E5">
        <w:rPr>
          <w:rFonts w:ascii="Arial" w:hAnsi="Arial" w:cs="Arial"/>
          <w:color w:val="000000"/>
          <w:sz w:val="24"/>
        </w:rPr>
        <w:t>Encourage trauma-informed approaches when working with immigrant families who have experienced displacement, discrimination, or immigration-related stress.</w:t>
      </w:r>
    </w:p>
    <w:p w14:paraId="50D86245" w14:textId="77777777" w:rsidR="00ED42E5" w:rsidRPr="00ED42E5" w:rsidRDefault="00ED42E5" w:rsidP="00ED42E5">
      <w:pPr>
        <w:rPr>
          <w:rFonts w:ascii="Arial" w:hAnsi="Arial" w:cs="Arial"/>
          <w:b/>
          <w:bCs/>
          <w:color w:val="000000"/>
          <w:sz w:val="24"/>
        </w:rPr>
      </w:pPr>
      <w:r w:rsidRPr="00ED42E5">
        <w:rPr>
          <w:rFonts w:ascii="Arial" w:hAnsi="Arial" w:cs="Arial"/>
          <w:b/>
          <w:bCs/>
          <w:color w:val="000000"/>
          <w:sz w:val="24"/>
        </w:rPr>
        <w:t>4. Strengthen Cross-Sector Partnerships</w:t>
      </w:r>
    </w:p>
    <w:p w14:paraId="577D042C" w14:textId="77777777" w:rsidR="00ED42E5" w:rsidRDefault="00ED42E5" w:rsidP="00ED42E5">
      <w:pPr>
        <w:pStyle w:val="ListParagraph"/>
        <w:numPr>
          <w:ilvl w:val="0"/>
          <w:numId w:val="21"/>
        </w:numPr>
        <w:ind w:left="900" w:hanging="180"/>
        <w:rPr>
          <w:rFonts w:ascii="Arial" w:hAnsi="Arial" w:cs="Arial"/>
          <w:color w:val="000000"/>
          <w:sz w:val="24"/>
        </w:rPr>
      </w:pPr>
      <w:r w:rsidRPr="00ED42E5">
        <w:rPr>
          <w:rFonts w:ascii="Arial" w:hAnsi="Arial" w:cs="Arial"/>
          <w:color w:val="000000"/>
          <w:sz w:val="24"/>
        </w:rPr>
        <w:t>Build collaboration between disability organizations, immigrant coalitions, legal aid providers, cultural community groups, and healthcare systems to holistically support immigrant families and individuals with IDD.</w:t>
      </w:r>
    </w:p>
    <w:p w14:paraId="6FE342FD" w14:textId="77777777" w:rsidR="00ED42E5" w:rsidRDefault="00ED42E5" w:rsidP="00ED42E5">
      <w:pPr>
        <w:pStyle w:val="ListParagraph"/>
        <w:numPr>
          <w:ilvl w:val="0"/>
          <w:numId w:val="21"/>
        </w:numPr>
        <w:ind w:left="900" w:hanging="180"/>
        <w:rPr>
          <w:rFonts w:ascii="Arial" w:hAnsi="Arial" w:cs="Arial"/>
          <w:color w:val="000000"/>
          <w:sz w:val="24"/>
        </w:rPr>
      </w:pPr>
      <w:r w:rsidRPr="00ED42E5">
        <w:rPr>
          <w:rFonts w:ascii="Arial" w:hAnsi="Arial" w:cs="Arial"/>
          <w:color w:val="000000"/>
          <w:sz w:val="24"/>
        </w:rPr>
        <w:t>Connect families to reputable immigration and legal resources to help them understand their rights and navigate complex systems.</w:t>
      </w:r>
    </w:p>
    <w:p w14:paraId="183ED732" w14:textId="3E697CBD" w:rsidR="00ED42E5" w:rsidRPr="00ED42E5" w:rsidRDefault="00ED42E5" w:rsidP="00ED42E5">
      <w:pPr>
        <w:pStyle w:val="ListParagraph"/>
        <w:numPr>
          <w:ilvl w:val="0"/>
          <w:numId w:val="21"/>
        </w:numPr>
        <w:spacing w:after="120"/>
        <w:ind w:left="907" w:hanging="187"/>
        <w:rPr>
          <w:rFonts w:ascii="Arial" w:hAnsi="Arial" w:cs="Arial"/>
          <w:color w:val="000000"/>
          <w:sz w:val="24"/>
        </w:rPr>
      </w:pPr>
      <w:r w:rsidRPr="00ED42E5">
        <w:rPr>
          <w:rFonts w:ascii="Arial" w:hAnsi="Arial" w:cs="Arial"/>
          <w:color w:val="000000"/>
          <w:sz w:val="24"/>
        </w:rPr>
        <w:t>Incorporate cultural perspectives, lived experience, and community expertise into disability policy development and service design.</w:t>
      </w:r>
    </w:p>
    <w:p w14:paraId="3DD262BE" w14:textId="77777777" w:rsidR="00ED42E5" w:rsidRPr="00ED42E5" w:rsidRDefault="00ED42E5" w:rsidP="00ED42E5">
      <w:pPr>
        <w:rPr>
          <w:rFonts w:ascii="Arial" w:hAnsi="Arial" w:cs="Arial"/>
          <w:b/>
          <w:bCs/>
          <w:color w:val="000000"/>
          <w:sz w:val="24"/>
        </w:rPr>
      </w:pPr>
      <w:r w:rsidRPr="00ED42E5">
        <w:rPr>
          <w:rFonts w:ascii="Arial" w:hAnsi="Arial" w:cs="Arial"/>
          <w:b/>
          <w:bCs/>
          <w:color w:val="000000"/>
          <w:sz w:val="24"/>
        </w:rPr>
        <w:t>5. Promote Inclusive Policymaking</w:t>
      </w:r>
    </w:p>
    <w:p w14:paraId="727981DF" w14:textId="77777777" w:rsidR="00ED42E5" w:rsidRDefault="00ED42E5" w:rsidP="00ED42E5">
      <w:pPr>
        <w:pStyle w:val="ListParagraph"/>
        <w:numPr>
          <w:ilvl w:val="0"/>
          <w:numId w:val="21"/>
        </w:numPr>
        <w:ind w:left="900" w:hanging="180"/>
        <w:rPr>
          <w:rFonts w:ascii="Arial" w:hAnsi="Arial" w:cs="Arial"/>
          <w:color w:val="000000"/>
          <w:sz w:val="24"/>
        </w:rPr>
      </w:pPr>
      <w:r w:rsidRPr="00ED42E5">
        <w:rPr>
          <w:rFonts w:ascii="Arial" w:hAnsi="Arial" w:cs="Arial"/>
          <w:color w:val="000000"/>
          <w:sz w:val="24"/>
        </w:rPr>
        <w:t>Advocate for federal and state policies that safeguard access to disability supports for all eligible individuals, including those with uncertain or undocumented immigration status.</w:t>
      </w:r>
    </w:p>
    <w:p w14:paraId="515317F8" w14:textId="77777777" w:rsidR="00ED42E5" w:rsidRDefault="00ED42E5" w:rsidP="00ED42E5">
      <w:pPr>
        <w:pStyle w:val="ListParagraph"/>
        <w:numPr>
          <w:ilvl w:val="0"/>
          <w:numId w:val="21"/>
        </w:numPr>
        <w:ind w:left="900" w:hanging="180"/>
        <w:rPr>
          <w:rFonts w:ascii="Arial" w:hAnsi="Arial" w:cs="Arial"/>
          <w:color w:val="000000"/>
          <w:sz w:val="24"/>
        </w:rPr>
      </w:pPr>
      <w:r w:rsidRPr="00ED42E5">
        <w:rPr>
          <w:rFonts w:ascii="Arial" w:hAnsi="Arial" w:cs="Arial"/>
          <w:color w:val="000000"/>
          <w:sz w:val="24"/>
        </w:rPr>
        <w:t>Support efforts to ensure disability services remain exempt from the public charge rule and similar immigration-related determinations.</w:t>
      </w:r>
    </w:p>
    <w:p w14:paraId="4B22FB19" w14:textId="2EB42DF0" w:rsidR="00ED42E5" w:rsidRPr="00ED42E5" w:rsidRDefault="00ED42E5" w:rsidP="00ED42E5">
      <w:pPr>
        <w:pStyle w:val="ListParagraph"/>
        <w:numPr>
          <w:ilvl w:val="0"/>
          <w:numId w:val="21"/>
        </w:numPr>
        <w:ind w:left="900" w:hanging="180"/>
        <w:rPr>
          <w:rFonts w:ascii="Arial" w:hAnsi="Arial" w:cs="Arial"/>
          <w:color w:val="000000"/>
          <w:sz w:val="24"/>
        </w:rPr>
      </w:pPr>
      <w:r w:rsidRPr="00ED42E5">
        <w:rPr>
          <w:rFonts w:ascii="Arial" w:hAnsi="Arial" w:cs="Arial"/>
          <w:color w:val="000000"/>
          <w:sz w:val="24"/>
        </w:rPr>
        <w:t>Champion broader systems-level protections in housing, transportation, healthcare, and education, recognizing that these systems are vital for the stability of immigrant and mixed-status families that include individuals with IDD.</w:t>
      </w:r>
    </w:p>
    <w:p w14:paraId="15812446" w14:textId="77777777" w:rsidR="00ED42E5" w:rsidRDefault="00ED42E5" w:rsidP="00ED42E5">
      <w:pPr>
        <w:rPr>
          <w:rFonts w:ascii="Arial" w:hAnsi="Arial" w:cs="Arial"/>
          <w:b/>
          <w:bCs/>
          <w:color w:val="000000"/>
          <w:sz w:val="24"/>
        </w:rPr>
      </w:pPr>
    </w:p>
    <w:p w14:paraId="590737A2" w14:textId="318B6FC4" w:rsidR="00ED42E5" w:rsidRDefault="00ED42E5" w:rsidP="00ED42E5"/>
    <w:sectPr w:rsidR="0018787E" w:rsidSect="00886314">
      <w:pgSz w:w="12240" w:h="15840"/>
      <w:pgMar w:top="900" w:right="108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7E9"/>
    <w:multiLevelType w:val="hybridMultilevel"/>
    <w:tmpl w:val="918C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67BB1"/>
    <w:multiLevelType w:val="hybridMultilevel"/>
    <w:tmpl w:val="A0B270F8"/>
    <w:lvl w:ilvl="0" w:tplc="80BE655C">
      <w:start w:val="1"/>
      <w:numFmt w:val="decimal"/>
      <w:lvlText w:val="%1."/>
      <w:lvlJc w:val="left"/>
      <w:pPr>
        <w:tabs>
          <w:tab w:val="num" w:pos="720"/>
        </w:tabs>
        <w:ind w:left="720" w:hanging="360"/>
      </w:pPr>
      <w:rPr>
        <w:rFonts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339B4"/>
    <w:multiLevelType w:val="hybridMultilevel"/>
    <w:tmpl w:val="EB0A5C1A"/>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52D76"/>
    <w:multiLevelType w:val="hybridMultilevel"/>
    <w:tmpl w:val="ABCE8C2A"/>
    <w:lvl w:ilvl="0" w:tplc="E2BE115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671AD7"/>
    <w:multiLevelType w:val="multilevel"/>
    <w:tmpl w:val="E688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620F7"/>
    <w:multiLevelType w:val="hybridMultilevel"/>
    <w:tmpl w:val="C9B0DC52"/>
    <w:lvl w:ilvl="0" w:tplc="9AC05E0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33CBE"/>
    <w:multiLevelType w:val="hybridMultilevel"/>
    <w:tmpl w:val="24843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CB0501"/>
    <w:multiLevelType w:val="hybridMultilevel"/>
    <w:tmpl w:val="4E40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CE64E9"/>
    <w:multiLevelType w:val="hybridMultilevel"/>
    <w:tmpl w:val="3B9A10F4"/>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F559E2"/>
    <w:multiLevelType w:val="hybridMultilevel"/>
    <w:tmpl w:val="FB2A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95A0D"/>
    <w:multiLevelType w:val="hybridMultilevel"/>
    <w:tmpl w:val="C49AE3E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F39FE"/>
    <w:multiLevelType w:val="multilevel"/>
    <w:tmpl w:val="208E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6780C"/>
    <w:multiLevelType w:val="hybridMultilevel"/>
    <w:tmpl w:val="7BC22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C3524"/>
    <w:multiLevelType w:val="multilevel"/>
    <w:tmpl w:val="C7C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612B6"/>
    <w:multiLevelType w:val="hybridMultilevel"/>
    <w:tmpl w:val="0E948CCE"/>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0327E"/>
    <w:multiLevelType w:val="multilevel"/>
    <w:tmpl w:val="8B7E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5F1026"/>
    <w:multiLevelType w:val="hybridMultilevel"/>
    <w:tmpl w:val="797C139C"/>
    <w:lvl w:ilvl="0" w:tplc="E2BE11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115C7"/>
    <w:multiLevelType w:val="multilevel"/>
    <w:tmpl w:val="46BE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6A5929"/>
    <w:multiLevelType w:val="hybridMultilevel"/>
    <w:tmpl w:val="66DC5BFC"/>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BF73D2"/>
    <w:multiLevelType w:val="hybridMultilevel"/>
    <w:tmpl w:val="7CCE8D3E"/>
    <w:lvl w:ilvl="0" w:tplc="80BE655C">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7EB35BFD"/>
    <w:multiLevelType w:val="hybridMultilevel"/>
    <w:tmpl w:val="CDB8B5F8"/>
    <w:lvl w:ilvl="0" w:tplc="80BE655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130165">
    <w:abstractNumId w:val="20"/>
  </w:num>
  <w:num w:numId="2" w16cid:durableId="1825317407">
    <w:abstractNumId w:val="10"/>
  </w:num>
  <w:num w:numId="3" w16cid:durableId="807550699">
    <w:abstractNumId w:val="18"/>
  </w:num>
  <w:num w:numId="4" w16cid:durableId="1547373397">
    <w:abstractNumId w:val="14"/>
  </w:num>
  <w:num w:numId="5" w16cid:durableId="1101027578">
    <w:abstractNumId w:val="8"/>
  </w:num>
  <w:num w:numId="6" w16cid:durableId="1917670552">
    <w:abstractNumId w:val="2"/>
  </w:num>
  <w:num w:numId="7" w16cid:durableId="751590346">
    <w:abstractNumId w:val="5"/>
  </w:num>
  <w:num w:numId="8" w16cid:durableId="448356837">
    <w:abstractNumId w:val="1"/>
  </w:num>
  <w:num w:numId="9" w16cid:durableId="379404735">
    <w:abstractNumId w:val="7"/>
  </w:num>
  <w:num w:numId="10" w16cid:durableId="243345194">
    <w:abstractNumId w:val="19"/>
  </w:num>
  <w:num w:numId="11" w16cid:durableId="76370805">
    <w:abstractNumId w:val="0"/>
  </w:num>
  <w:num w:numId="12" w16cid:durableId="1624263499">
    <w:abstractNumId w:val="12"/>
  </w:num>
  <w:num w:numId="13" w16cid:durableId="1902015903">
    <w:abstractNumId w:val="6"/>
  </w:num>
  <w:num w:numId="14" w16cid:durableId="903178035">
    <w:abstractNumId w:val="17"/>
  </w:num>
  <w:num w:numId="15" w16cid:durableId="1928611795">
    <w:abstractNumId w:val="13"/>
  </w:num>
  <w:num w:numId="16" w16cid:durableId="2131168432">
    <w:abstractNumId w:val="11"/>
  </w:num>
  <w:num w:numId="17" w16cid:durableId="1668165634">
    <w:abstractNumId w:val="15"/>
  </w:num>
  <w:num w:numId="18" w16cid:durableId="845169272">
    <w:abstractNumId w:val="4"/>
  </w:num>
  <w:num w:numId="19" w16cid:durableId="2101098740">
    <w:abstractNumId w:val="9"/>
  </w:num>
  <w:num w:numId="20" w16cid:durableId="1655336416">
    <w:abstractNumId w:val="16"/>
  </w:num>
  <w:num w:numId="21" w16cid:durableId="184485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14"/>
    <w:rsid w:val="00010120"/>
    <w:rsid w:val="000D1A2C"/>
    <w:rsid w:val="001014F3"/>
    <w:rsid w:val="001C014D"/>
    <w:rsid w:val="00272A6B"/>
    <w:rsid w:val="003128E7"/>
    <w:rsid w:val="003955DB"/>
    <w:rsid w:val="00786A8C"/>
    <w:rsid w:val="00886314"/>
    <w:rsid w:val="009E2AA4"/>
    <w:rsid w:val="009F5394"/>
    <w:rsid w:val="00AE24E6"/>
    <w:rsid w:val="00B74B22"/>
    <w:rsid w:val="00C07BAC"/>
    <w:rsid w:val="00C16E7C"/>
    <w:rsid w:val="00D02CB7"/>
    <w:rsid w:val="00D04F54"/>
    <w:rsid w:val="00D16531"/>
    <w:rsid w:val="00ED1A73"/>
    <w:rsid w:val="00ED42E5"/>
    <w:rsid w:val="00F4242B"/>
    <w:rsid w:val="00F4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AFC4"/>
  <w15:chartTrackingRefBased/>
  <w15:docId w15:val="{B040C01C-C698-43B0-BC1C-8EEF8B17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uiPriority w:val="9"/>
    <w:qFormat/>
    <w:rsid w:val="003955DB"/>
    <w:pPr>
      <w:keepNext/>
      <w:keepLines/>
      <w:outlineLvl w:val="0"/>
    </w:pPr>
    <w:rPr>
      <w:rFonts w:ascii="Arial" w:hAnsi="Arial" w:cs="Arial"/>
      <w:color w:val="000000"/>
      <w:sz w:val="24"/>
    </w:rPr>
  </w:style>
  <w:style w:type="paragraph" w:styleId="Heading2">
    <w:name w:val="heading 2"/>
    <w:basedOn w:val="Normal"/>
    <w:next w:val="Normal"/>
    <w:link w:val="Heading2Char"/>
    <w:uiPriority w:val="9"/>
    <w:semiHidden/>
    <w:unhideWhenUsed/>
    <w:qFormat/>
    <w:rsid w:val="00ED42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42E5"/>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314"/>
    <w:pPr>
      <w:ind w:left="720"/>
      <w:contextualSpacing/>
    </w:pPr>
  </w:style>
  <w:style w:type="paragraph" w:styleId="NormalWeb">
    <w:name w:val="Normal (Web)"/>
    <w:basedOn w:val="Normal"/>
    <w:uiPriority w:val="99"/>
    <w:semiHidden/>
    <w:unhideWhenUsed/>
    <w:rsid w:val="00886314"/>
    <w:pPr>
      <w:widowControl/>
      <w:autoSpaceDE/>
      <w:autoSpaceDN/>
      <w:adjustRightInd/>
      <w:spacing w:before="100" w:beforeAutospacing="1" w:after="100" w:afterAutospacing="1"/>
    </w:pPr>
    <w:rPr>
      <w:sz w:val="24"/>
    </w:rPr>
  </w:style>
  <w:style w:type="paragraph" w:styleId="NoSpacing">
    <w:name w:val="No Spacing"/>
    <w:uiPriority w:val="99"/>
    <w:qFormat/>
    <w:rsid w:val="00010120"/>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955DB"/>
    <w:rPr>
      <w:rFonts w:ascii="Arial" w:eastAsia="Times New Roman" w:hAnsi="Arial" w:cs="Arial"/>
      <w:color w:val="000000"/>
      <w:sz w:val="24"/>
      <w:szCs w:val="24"/>
    </w:rPr>
  </w:style>
  <w:style w:type="character" w:styleId="Strong">
    <w:name w:val="Strong"/>
    <w:qFormat/>
    <w:rsid w:val="00D02CB7"/>
    <w:rPr>
      <w:b/>
      <w:bCs/>
    </w:rPr>
  </w:style>
  <w:style w:type="character" w:customStyle="1" w:styleId="Heading2Char">
    <w:name w:val="Heading 2 Char"/>
    <w:basedOn w:val="DefaultParagraphFont"/>
    <w:link w:val="Heading2"/>
    <w:uiPriority w:val="9"/>
    <w:semiHidden/>
    <w:rsid w:val="00ED42E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D42E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0122">
      <w:bodyDiv w:val="1"/>
      <w:marLeft w:val="0"/>
      <w:marRight w:val="0"/>
      <w:marTop w:val="0"/>
      <w:marBottom w:val="0"/>
      <w:divBdr>
        <w:top w:val="none" w:sz="0" w:space="0" w:color="auto"/>
        <w:left w:val="none" w:sz="0" w:space="0" w:color="auto"/>
        <w:bottom w:val="none" w:sz="0" w:space="0" w:color="auto"/>
        <w:right w:val="none" w:sz="0" w:space="0" w:color="auto"/>
      </w:divBdr>
    </w:div>
    <w:div w:id="662127164">
      <w:bodyDiv w:val="1"/>
      <w:marLeft w:val="0"/>
      <w:marRight w:val="0"/>
      <w:marTop w:val="0"/>
      <w:marBottom w:val="0"/>
      <w:divBdr>
        <w:top w:val="none" w:sz="0" w:space="0" w:color="auto"/>
        <w:left w:val="none" w:sz="0" w:space="0" w:color="auto"/>
        <w:bottom w:val="none" w:sz="0" w:space="0" w:color="auto"/>
        <w:right w:val="none" w:sz="0" w:space="0" w:color="auto"/>
      </w:divBdr>
    </w:div>
    <w:div w:id="746879954">
      <w:bodyDiv w:val="1"/>
      <w:marLeft w:val="0"/>
      <w:marRight w:val="0"/>
      <w:marTop w:val="0"/>
      <w:marBottom w:val="0"/>
      <w:divBdr>
        <w:top w:val="none" w:sz="0" w:space="0" w:color="auto"/>
        <w:left w:val="none" w:sz="0" w:space="0" w:color="auto"/>
        <w:bottom w:val="none" w:sz="0" w:space="0" w:color="auto"/>
        <w:right w:val="none" w:sz="0" w:space="0" w:color="auto"/>
      </w:divBdr>
    </w:div>
    <w:div w:id="1104572683">
      <w:bodyDiv w:val="1"/>
      <w:marLeft w:val="0"/>
      <w:marRight w:val="0"/>
      <w:marTop w:val="0"/>
      <w:marBottom w:val="0"/>
      <w:divBdr>
        <w:top w:val="none" w:sz="0" w:space="0" w:color="auto"/>
        <w:left w:val="none" w:sz="0" w:space="0" w:color="auto"/>
        <w:bottom w:val="none" w:sz="0" w:space="0" w:color="auto"/>
        <w:right w:val="none" w:sz="0" w:space="0" w:color="auto"/>
      </w:divBdr>
    </w:div>
    <w:div w:id="1119034310">
      <w:bodyDiv w:val="1"/>
      <w:marLeft w:val="0"/>
      <w:marRight w:val="0"/>
      <w:marTop w:val="0"/>
      <w:marBottom w:val="0"/>
      <w:divBdr>
        <w:top w:val="none" w:sz="0" w:space="0" w:color="auto"/>
        <w:left w:val="none" w:sz="0" w:space="0" w:color="auto"/>
        <w:bottom w:val="none" w:sz="0" w:space="0" w:color="auto"/>
        <w:right w:val="none" w:sz="0" w:space="0" w:color="auto"/>
      </w:divBdr>
    </w:div>
    <w:div w:id="1228538828">
      <w:bodyDiv w:val="1"/>
      <w:marLeft w:val="0"/>
      <w:marRight w:val="0"/>
      <w:marTop w:val="0"/>
      <w:marBottom w:val="0"/>
      <w:divBdr>
        <w:top w:val="none" w:sz="0" w:space="0" w:color="auto"/>
        <w:left w:val="none" w:sz="0" w:space="0" w:color="auto"/>
        <w:bottom w:val="none" w:sz="0" w:space="0" w:color="auto"/>
        <w:right w:val="none" w:sz="0" w:space="0" w:color="auto"/>
      </w:divBdr>
    </w:div>
    <w:div w:id="1334799859">
      <w:bodyDiv w:val="1"/>
      <w:marLeft w:val="0"/>
      <w:marRight w:val="0"/>
      <w:marTop w:val="0"/>
      <w:marBottom w:val="0"/>
      <w:divBdr>
        <w:top w:val="none" w:sz="0" w:space="0" w:color="auto"/>
        <w:left w:val="none" w:sz="0" w:space="0" w:color="auto"/>
        <w:bottom w:val="none" w:sz="0" w:space="0" w:color="auto"/>
        <w:right w:val="none" w:sz="0" w:space="0" w:color="auto"/>
      </w:divBdr>
    </w:div>
    <w:div w:id="1507397659">
      <w:bodyDiv w:val="1"/>
      <w:marLeft w:val="0"/>
      <w:marRight w:val="0"/>
      <w:marTop w:val="0"/>
      <w:marBottom w:val="0"/>
      <w:divBdr>
        <w:top w:val="none" w:sz="0" w:space="0" w:color="auto"/>
        <w:left w:val="none" w:sz="0" w:space="0" w:color="auto"/>
        <w:bottom w:val="none" w:sz="0" w:space="0" w:color="auto"/>
        <w:right w:val="none" w:sz="0" w:space="0" w:color="auto"/>
      </w:divBdr>
    </w:div>
    <w:div w:id="1678847152">
      <w:bodyDiv w:val="1"/>
      <w:marLeft w:val="0"/>
      <w:marRight w:val="0"/>
      <w:marTop w:val="0"/>
      <w:marBottom w:val="0"/>
      <w:divBdr>
        <w:top w:val="none" w:sz="0" w:space="0" w:color="auto"/>
        <w:left w:val="none" w:sz="0" w:space="0" w:color="auto"/>
        <w:bottom w:val="none" w:sz="0" w:space="0" w:color="auto"/>
        <w:right w:val="none" w:sz="0" w:space="0" w:color="auto"/>
      </w:divBdr>
    </w:div>
    <w:div w:id="1849558975">
      <w:bodyDiv w:val="1"/>
      <w:marLeft w:val="0"/>
      <w:marRight w:val="0"/>
      <w:marTop w:val="0"/>
      <w:marBottom w:val="0"/>
      <w:divBdr>
        <w:top w:val="none" w:sz="0" w:space="0" w:color="auto"/>
        <w:left w:val="none" w:sz="0" w:space="0" w:color="auto"/>
        <w:bottom w:val="none" w:sz="0" w:space="0" w:color="auto"/>
        <w:right w:val="none" w:sz="0" w:space="0" w:color="auto"/>
      </w:divBdr>
    </w:div>
    <w:div w:id="1959408891">
      <w:bodyDiv w:val="1"/>
      <w:marLeft w:val="0"/>
      <w:marRight w:val="0"/>
      <w:marTop w:val="0"/>
      <w:marBottom w:val="0"/>
      <w:divBdr>
        <w:top w:val="none" w:sz="0" w:space="0" w:color="auto"/>
        <w:left w:val="none" w:sz="0" w:space="0" w:color="auto"/>
        <w:bottom w:val="none" w:sz="0" w:space="0" w:color="auto"/>
        <w:right w:val="none" w:sz="0" w:space="0" w:color="auto"/>
      </w:divBdr>
    </w:div>
    <w:div w:id="20368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2</cp:revision>
  <dcterms:created xsi:type="dcterms:W3CDTF">2025-11-17T23:49:00Z</dcterms:created>
  <dcterms:modified xsi:type="dcterms:W3CDTF">2025-11-17T23:49:00Z</dcterms:modified>
</cp:coreProperties>
</file>